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38" w:lineRule="auto"/>
        <w:rPr>
          <w:rFonts w:ascii="Arial"/>
          <w:sz w:val="21"/>
        </w:rPr>
      </w:pPr>
      <w:r/>
    </w:p>
    <w:p>
      <w:pPr>
        <w:spacing w:line="339" w:lineRule="auto"/>
        <w:rPr>
          <w:rFonts w:ascii="Arial"/>
          <w:sz w:val="21"/>
        </w:rPr>
      </w:pPr>
      <w:r/>
    </w:p>
    <w:p>
      <w:pPr>
        <w:ind w:left="344"/>
        <w:spacing w:before="104" w:line="224" w:lineRule="auto"/>
        <w:rPr>
          <w:rFonts w:ascii="SimHei" w:hAnsi="SimHei" w:eastAsia="SimHei" w:cs="SimHei"/>
          <w:sz w:val="32"/>
          <w:szCs w:val="32"/>
        </w:rPr>
      </w:pPr>
      <w:r>
        <w:rPr>
          <w:rFonts w:ascii="SimHei" w:hAnsi="SimHei" w:eastAsia="SimHei" w:cs="SimHei"/>
          <w:sz w:val="32"/>
          <w:szCs w:val="32"/>
          <w:spacing w:val="12"/>
        </w:rPr>
        <w:t>附件3</w:t>
      </w:r>
    </w:p>
    <w:p>
      <w:pPr>
        <w:spacing w:line="379" w:lineRule="auto"/>
        <w:rPr>
          <w:rFonts w:ascii="Arial"/>
          <w:sz w:val="21"/>
        </w:rPr>
      </w:pPr>
      <w:r/>
    </w:p>
    <w:p>
      <w:pPr>
        <w:ind w:left="3021" w:right="337" w:hanging="1596"/>
        <w:spacing w:before="156" w:line="205" w:lineRule="auto"/>
        <w:rPr>
          <w:rFonts w:ascii="SimSun" w:hAnsi="SimSun" w:eastAsia="SimSun" w:cs="SimSun"/>
          <w:sz w:val="48"/>
          <w:szCs w:val="48"/>
        </w:rPr>
      </w:pPr>
      <w:r>
        <w:rPr>
          <w:rFonts w:ascii="SimSun" w:hAnsi="SimSun" w:eastAsia="SimSun" w:cs="SimSun"/>
          <w:sz w:val="48"/>
          <w:szCs w:val="48"/>
          <w:spacing w:val="-24"/>
        </w:rPr>
        <w:t>2026</w:t>
      </w:r>
      <w:r>
        <w:rPr>
          <w:rFonts w:ascii="SimSun" w:hAnsi="SimSun" w:eastAsia="SimSun" w:cs="SimSun"/>
          <w:sz w:val="48"/>
          <w:szCs w:val="48"/>
          <w:b/>
          <w:bCs/>
          <w:spacing w:val="-24"/>
        </w:rPr>
        <w:t>年山东省“学生资助政策进万家”</w:t>
      </w:r>
      <w:r>
        <w:rPr>
          <w:rFonts w:ascii="SimSun" w:hAnsi="SimSun" w:eastAsia="SimSun" w:cs="SimSun"/>
          <w:sz w:val="48"/>
          <w:szCs w:val="48"/>
          <w:spacing w:val="17"/>
        </w:rPr>
        <w:t xml:space="preserve"> </w:t>
      </w:r>
      <w:r>
        <w:rPr>
          <w:rFonts w:ascii="SimSun" w:hAnsi="SimSun" w:eastAsia="SimSun" w:cs="SimSun"/>
          <w:sz w:val="48"/>
          <w:szCs w:val="48"/>
          <w:b/>
          <w:bCs/>
          <w:spacing w:val="-44"/>
        </w:rPr>
        <w:t>拟推荐优秀团队总结表</w:t>
      </w:r>
    </w:p>
    <w:p>
      <w:pPr>
        <w:spacing w:before="66"/>
        <w:rPr/>
      </w:pPr>
      <w:r/>
    </w:p>
    <w:p>
      <w:pPr>
        <w:spacing w:before="66"/>
        <w:rPr/>
      </w:pPr>
      <w:r/>
    </w:p>
    <w:tbl>
      <w:tblPr>
        <w:tblStyle w:val="TableNormal"/>
        <w:tblW w:w="954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3"/>
        <w:gridCol w:w="2827"/>
        <w:gridCol w:w="2207"/>
        <w:gridCol w:w="2522"/>
      </w:tblGrid>
      <w:tr>
        <w:trPr>
          <w:trHeight w:val="644" w:hRule="atLeast"/>
        </w:trPr>
        <w:tc>
          <w:tcPr>
            <w:tcW w:w="1993" w:type="dxa"/>
            <w:vAlign w:val="top"/>
          </w:tcPr>
          <w:p>
            <w:pPr>
              <w:pStyle w:val="TableText"/>
              <w:ind w:left="508"/>
              <w:spacing w:before="202" w:line="221" w:lineRule="auto"/>
              <w:rPr/>
            </w:pPr>
            <w:r>
              <w:rPr>
                <w:b/>
                <w:bCs/>
                <w:spacing w:val="-2"/>
              </w:rPr>
              <w:t>团队名称</w:t>
            </w:r>
          </w:p>
        </w:tc>
        <w:tc>
          <w:tcPr>
            <w:tcW w:w="7556" w:type="dxa"/>
            <w:vAlign w:val="top"/>
            <w:gridSpan w:val="3"/>
          </w:tcPr>
          <w:p>
            <w:r>
              <w:rPr>
                <w:rFonts w:ascii="宋体" w:hAnsi="宋体" w:eastAsia="宋体"/>
                <w:b w:val="0"/>
                <w:sz w:val="22"/>
              </w:rPr>
              <w:t>山东药品食品职业学院“资润启梦”志愿服务队</w:t>
            </w:r>
          </w:p>
        </w:tc>
      </w:tr>
      <w:tr>
        <w:trPr>
          <w:trHeight w:val="949" w:hRule="atLeast"/>
        </w:trPr>
        <w:tc>
          <w:tcPr>
            <w:tcW w:w="1993" w:type="dxa"/>
            <w:vAlign w:val="top"/>
          </w:tcPr>
          <w:p>
            <w:pPr>
              <w:pStyle w:val="TableText"/>
              <w:ind w:left="627" w:right="152" w:hanging="479"/>
              <w:spacing w:before="166" w:line="297" w:lineRule="auto"/>
              <w:rPr/>
            </w:pPr>
            <w:r>
              <w:rPr>
                <w:b/>
                <w:bCs/>
                <w:spacing w:val="-3"/>
              </w:rPr>
              <w:t>负责人姓名及联</w:t>
            </w:r>
            <w:r>
              <w:rPr>
                <w:spacing w:val="4"/>
              </w:rPr>
              <w:t xml:space="preserve"> </w:t>
            </w:r>
            <w:r>
              <w:rPr>
                <w:b/>
                <w:bCs/>
                <w:spacing w:val="-6"/>
              </w:rPr>
              <w:t>系方式</w:t>
            </w:r>
          </w:p>
        </w:tc>
        <w:tc>
          <w:tcPr>
            <w:tcW w:w="7556" w:type="dxa"/>
            <w:vAlign w:val="top"/>
            <w:gridSpan w:val="3"/>
          </w:tcPr>
          <w:p>
            <w:r>
              <w:rPr>
                <w:rFonts w:ascii="宋体" w:hAnsi="宋体" w:eastAsia="宋体"/>
                <w:b w:val="0"/>
                <w:sz w:val="22"/>
              </w:rPr>
              <w:t>姚珂，18462361470</w:t>
            </w:r>
          </w:p>
        </w:tc>
      </w:tr>
      <w:tr>
        <w:trPr>
          <w:trHeight w:val="1249" w:hRule="atLeast"/>
        </w:trPr>
        <w:tc>
          <w:tcPr>
            <w:tcW w:w="1993" w:type="dxa"/>
            <w:vAlign w:val="top"/>
          </w:tcPr>
          <w:p>
            <w:pPr>
              <w:pStyle w:val="TableText"/>
              <w:ind w:left="268"/>
              <w:spacing w:before="296" w:line="219" w:lineRule="auto"/>
              <w:rPr/>
            </w:pPr>
            <w:r>
              <w:rPr>
                <w:b/>
                <w:bCs/>
                <w:spacing w:val="-2"/>
              </w:rPr>
              <w:t>团队基本情况</w:t>
            </w:r>
          </w:p>
          <w:p>
            <w:pPr>
              <w:pStyle w:val="TableText"/>
              <w:ind w:left="328"/>
              <w:spacing w:before="207" w:line="219" w:lineRule="auto"/>
              <w:rPr/>
            </w:pPr>
            <w:r>
              <w:rPr>
                <w:b/>
                <w:bCs/>
                <w:spacing w:val="3"/>
              </w:rPr>
              <w:t>(200字左右)</w:t>
            </w:r>
          </w:p>
        </w:tc>
        <w:tc>
          <w:tcPr>
            <w:tcW w:w="7556" w:type="dxa"/>
            <w:vAlign w:val="top"/>
            <w:gridSpan w:val="3"/>
          </w:tcPr>
          <w:p>
            <w:r>
              <w:rPr>
                <w:rFonts w:ascii="宋体" w:hAnsi="宋体" w:eastAsia="宋体"/>
                <w:b w:val="0"/>
                <w:sz w:val="22"/>
              </w:rPr>
              <w:t>山东药品食品职业学院“资润启梦”志愿服务队成立于2026年6月，隶属质量管理系，由10名青年志愿者组成，其中7人符合优先条件（曾获得国家助学金或国家励志奖学金），4人具备新媒体运营、摄影摄像、文案写作等特长。2026年7月12日至19日，服务队紧扣高考志愿填报关键节点，奔赴菏泽市单县、曹县及菏泽城区，依托当地三场高考招生咨询会开展“学生资助政策进万家”宣讲。队伍秉持“让好政策从纸面走进心里”的初心，将政策宣讲与数字化服务相结合，面向高三毕业生及家长精准解读生源地助学贷款、国家助学金、国家励志奖学金等政策，累计服务1500余人。</w:t>
            </w:r>
          </w:p>
        </w:tc>
      </w:tr>
      <w:tr>
        <w:trPr>
          <w:trHeight w:val="539" w:hRule="atLeast"/>
        </w:trPr>
        <w:tc>
          <w:tcPr>
            <w:tcW w:w="1993" w:type="dxa"/>
            <w:vAlign w:val="top"/>
          </w:tcPr>
          <w:p>
            <w:pPr>
              <w:pStyle w:val="TableText"/>
              <w:ind w:left="268"/>
              <w:spacing w:before="189" w:line="219" w:lineRule="auto"/>
              <w:rPr/>
            </w:pPr>
            <w:r>
              <w:rPr>
                <w:b/>
                <w:bCs/>
                <w:spacing w:val="-4"/>
              </w:rPr>
              <w:t>开展活动场次</w:t>
            </w:r>
          </w:p>
        </w:tc>
        <w:tc>
          <w:tcPr>
            <w:tcW w:w="2827" w:type="dxa"/>
            <w:vAlign w:val="top"/>
          </w:tcPr>
          <w:p>
            <w:r>
              <w:rPr>
                <w:rFonts w:ascii="宋体" w:hAnsi="宋体" w:eastAsia="宋体"/>
                <w:b w:val="0"/>
                <w:sz w:val="22"/>
              </w:rPr>
              <w:t>3</w:t>
            </w:r>
          </w:p>
        </w:tc>
        <w:tc>
          <w:tcPr>
            <w:tcW w:w="2207" w:type="dxa"/>
            <w:vAlign w:val="top"/>
          </w:tcPr>
          <w:p>
            <w:pPr>
              <w:pStyle w:val="TableText"/>
              <w:ind w:left="378"/>
              <w:spacing w:before="199" w:line="219" w:lineRule="auto"/>
              <w:rPr/>
            </w:pPr>
            <w:r>
              <w:rPr>
                <w:b/>
                <w:bCs/>
                <w:spacing w:val="-4"/>
              </w:rPr>
              <w:t>服务对象人数</w:t>
            </w:r>
          </w:p>
        </w:tc>
        <w:tc>
          <w:tcPr>
            <w:tcW w:w="2522" w:type="dxa"/>
            <w:vAlign w:val="top"/>
          </w:tcPr>
          <w:p>
            <w:r>
              <w:rPr>
                <w:rFonts w:ascii="宋体" w:hAnsi="宋体" w:eastAsia="宋体"/>
                <w:b w:val="0"/>
                <w:sz w:val="22"/>
              </w:rPr>
              <w:t>1500余人</w:t>
            </w:r>
          </w:p>
        </w:tc>
      </w:tr>
      <w:tr>
        <w:trPr>
          <w:trHeight w:val="570" w:hRule="atLeast"/>
        </w:trPr>
        <w:tc>
          <w:tcPr>
            <w:tcW w:w="1993" w:type="dxa"/>
            <w:vAlign w:val="top"/>
          </w:tcPr>
          <w:p>
            <w:pPr>
              <w:pStyle w:val="TableText"/>
              <w:ind w:left="268"/>
              <w:spacing w:before="220" w:line="219" w:lineRule="auto"/>
              <w:rPr/>
            </w:pPr>
            <w:r>
              <w:rPr>
                <w:b/>
                <w:bCs/>
              </w:rPr>
              <w:t>集中服务时间</w:t>
            </w:r>
          </w:p>
        </w:tc>
        <w:tc>
          <w:tcPr>
            <w:tcW w:w="7556" w:type="dxa"/>
            <w:vAlign w:val="top"/>
            <w:gridSpan w:val="3"/>
          </w:tcPr>
          <w:p>
            <w:r>
              <w:rPr>
                <w:rFonts w:ascii="宋体" w:hAnsi="宋体" w:eastAsia="宋体"/>
                <w:b w:val="0"/>
                <w:sz w:val="22"/>
              </w:rPr>
              <w:t>2026年7月12日—7月19日</w:t>
            </w:r>
          </w:p>
        </w:tc>
      </w:tr>
      <w:tr>
        <w:trPr>
          <w:trHeight w:val="569" w:hRule="atLeast"/>
        </w:trPr>
        <w:tc>
          <w:tcPr>
            <w:tcW w:w="1993" w:type="dxa"/>
            <w:vAlign w:val="top"/>
          </w:tcPr>
          <w:p>
            <w:pPr>
              <w:pStyle w:val="TableText"/>
              <w:ind w:left="628"/>
              <w:spacing w:before="170" w:line="219" w:lineRule="auto"/>
              <w:rPr/>
            </w:pPr>
            <w:r>
              <w:rPr>
                <w:b/>
                <w:bCs/>
                <w:spacing w:val="-5"/>
              </w:rPr>
              <w:t>入户数</w:t>
            </w:r>
          </w:p>
        </w:tc>
        <w:tc>
          <w:tcPr>
            <w:tcW w:w="7556" w:type="dxa"/>
            <w:vAlign w:val="top"/>
            <w:gridSpan w:val="3"/>
          </w:tcPr>
          <w:p>
            <w:r>
              <w:rPr>
                <w:rFonts w:ascii="宋体" w:hAnsi="宋体" w:eastAsia="宋体"/>
                <w:b w:val="0"/>
                <w:sz w:val="22"/>
              </w:rPr>
              <w:t>0（本次以高招会集中宣讲为主，未开展入户走访）</w:t>
            </w:r>
          </w:p>
        </w:tc>
      </w:tr>
      <w:tr>
        <w:trPr>
          <w:trHeight w:val="949" w:hRule="atLeast"/>
        </w:trPr>
        <w:tc>
          <w:tcPr>
            <w:tcW w:w="1993" w:type="dxa"/>
            <w:vAlign w:val="top"/>
          </w:tcPr>
          <w:p>
            <w:pPr>
              <w:pStyle w:val="TableText"/>
              <w:ind w:left="748" w:right="283" w:hanging="480"/>
              <w:spacing w:before="169" w:line="296" w:lineRule="auto"/>
              <w:rPr/>
            </w:pPr>
            <w:r>
              <w:rPr>
                <w:b/>
                <w:bCs/>
                <w:spacing w:val="-5"/>
              </w:rPr>
              <w:t>相关宣传报道</w:t>
            </w:r>
            <w:r>
              <w:rPr>
                <w:spacing w:val="4"/>
              </w:rPr>
              <w:t xml:space="preserve"> </w:t>
            </w:r>
            <w:r>
              <w:rPr>
                <w:b/>
                <w:bCs/>
                <w:spacing w:val="-5"/>
              </w:rPr>
              <w:t>链接</w:t>
            </w:r>
          </w:p>
        </w:tc>
        <w:tc>
          <w:tcPr>
            <w:tcW w:w="7556" w:type="dxa"/>
            <w:vAlign w:val="top"/>
            <w:gridSpan w:val="3"/>
          </w:tcPr>
          <w:p>
            <w:r>
              <w:rPr>
                <w:rFonts w:ascii="宋体" w:hAnsi="宋体" w:eastAsia="宋体"/>
                <w:b w:val="0"/>
                <w:sz w:val="22"/>
              </w:rPr>
              <w:t>［待补充：校院两级官网/公众号等宣传报道链接］</w:t>
            </w:r>
          </w:p>
        </w:tc>
      </w:tr>
      <w:tr>
        <w:trPr>
          <w:trHeight w:val="1488" w:hRule="atLeast"/>
        </w:trPr>
        <w:tc>
          <w:tcPr>
            <w:tcW w:w="1993" w:type="dxa"/>
            <w:vAlign w:val="top"/>
          </w:tcPr>
          <w:p>
            <w:pPr>
              <w:pStyle w:val="TableText"/>
              <w:ind w:left="267" w:right="148" w:hanging="119"/>
              <w:spacing w:before="202" w:line="327" w:lineRule="auto"/>
              <w:rPr/>
            </w:pPr>
            <w:r>
              <w:rPr>
                <w:b/>
                <w:bCs/>
                <w:spacing w:val="-2"/>
              </w:rPr>
              <w:t>团队开展培训及</w:t>
            </w:r>
            <w:r>
              <w:rPr>
                <w:spacing w:val="1"/>
              </w:rPr>
              <w:t xml:space="preserve"> </w:t>
            </w:r>
            <w:r>
              <w:rPr>
                <w:b/>
                <w:bCs/>
                <w:spacing w:val="-2"/>
              </w:rPr>
              <w:t>日常管理情况</w:t>
            </w:r>
            <w:r>
              <w:rPr/>
              <w:t xml:space="preserve">  </w:t>
            </w:r>
            <w:r>
              <w:rPr>
                <w:b/>
                <w:bCs/>
                <w:spacing w:val="10"/>
              </w:rPr>
              <w:t>(200字左右)</w:t>
            </w:r>
          </w:p>
        </w:tc>
        <w:tc>
          <w:tcPr>
            <w:tcW w:w="7556" w:type="dxa"/>
            <w:vAlign w:val="top"/>
            <w:gridSpan w:val="3"/>
          </w:tcPr>
          <w:p>
            <w:r>
              <w:rPr>
                <w:rFonts w:ascii="宋体" w:hAnsi="宋体" w:eastAsia="宋体"/>
                <w:b w:val="0"/>
                <w:sz w:val="22"/>
              </w:rPr>
              <w:t>出发前，服务队开展专题培训：系统研读《山东省学生资助资金管理办法》等政策文件，统一宣讲口径与话术，模拟家长常见疑问并演练应答；设计153份线上问卷用于认知摸排。实行“负责人统筹+分场负责”管理：负责人姚珂负总责并统筹三场活动，纪文慧、杨雨萌、郭思彤分片包干单县、曹县、菏泽会展中心现场宣讲，团队技术骨干自主开发AI政策宣讲小程序并负责宣传文稿。每日活动结束召开复盘会，梳理问题与典型案例；严格执行安全报备与考勤制度，确保志愿服务规范、有序、可追溯。</w:t>
            </w:r>
          </w:p>
        </w:tc>
      </w:tr>
      <w:tr>
        <w:trPr>
          <w:trHeight w:val="2382" w:hRule="atLeast"/>
        </w:trPr>
        <w:tc>
          <w:tcPr>
            <w:tcW w:w="1993" w:type="dxa"/>
            <w:vAlign w:val="top"/>
          </w:tcPr>
          <w:p>
            <w:pPr>
              <w:spacing w:line="286" w:lineRule="auto"/>
              <w:rPr>
                <w:rFonts w:ascii="Arial"/>
                <w:sz w:val="21"/>
              </w:rPr>
            </w:pPr>
            <w:r/>
          </w:p>
          <w:p>
            <w:pPr>
              <w:spacing w:line="287" w:lineRule="auto"/>
              <w:rPr>
                <w:rFonts w:ascii="Arial"/>
                <w:sz w:val="21"/>
              </w:rPr>
            </w:pPr>
            <w:r/>
          </w:p>
          <w:p>
            <w:pPr>
              <w:pStyle w:val="TableText"/>
              <w:ind w:left="148"/>
              <w:spacing w:before="78" w:line="219" w:lineRule="auto"/>
              <w:rPr/>
            </w:pPr>
            <w:r>
              <w:rPr>
                <w:b/>
                <w:bCs/>
                <w:spacing w:val="-4"/>
              </w:rPr>
              <w:t>主要服务内容及</w:t>
            </w:r>
          </w:p>
          <w:p>
            <w:pPr>
              <w:pStyle w:val="TableText"/>
              <w:ind w:left="508"/>
              <w:spacing w:before="205" w:line="220" w:lineRule="auto"/>
              <w:rPr/>
            </w:pPr>
            <w:r>
              <w:rPr>
                <w:b/>
                <w:bCs/>
                <w:spacing w:val="-5"/>
              </w:rPr>
              <w:t>成效经验</w:t>
            </w:r>
          </w:p>
          <w:p>
            <w:pPr>
              <w:pStyle w:val="TableText"/>
              <w:ind w:left="268"/>
              <w:spacing w:before="183" w:line="219" w:lineRule="auto"/>
              <w:rPr/>
            </w:pPr>
            <w:r>
              <w:rPr>
                <w:b/>
                <w:bCs/>
                <w:spacing w:val="2"/>
              </w:rPr>
              <w:t>(1000字左右)</w:t>
            </w:r>
          </w:p>
        </w:tc>
        <w:tc>
          <w:tcPr>
            <w:tcW w:w="7556" w:type="dxa"/>
            <w:vAlign w:val="top"/>
            <w:gridSpan w:val="3"/>
          </w:tcPr>
          <w:p>
            <w:r>
              <w:rPr>
                <w:rFonts w:ascii="宋体" w:hAnsi="宋体" w:eastAsia="宋体"/>
                <w:b w:val="0"/>
                <w:sz w:val="22"/>
              </w:rPr>
              <w:t>一、摸排先行，扫清政策认知盲区</w:t>
            </w:r>
          </w:p>
          <w:p>
            <w:r>
              <w:rPr>
                <w:rFonts w:ascii="宋体" w:hAnsi="宋体" w:eastAsia="宋体"/>
                <w:b w:val="0"/>
                <w:sz w:val="22"/>
              </w:rPr>
              <w:t>出发前，服务队完成153份问卷调研，结果显示不少高三毕业生和家长对资助政策“听说过、但不清楚”，甚至将“无偿资助”与“有偿贷款”混为一谈而不敢申请。找准盲区才能对症下药：队员结合受助经历，把条款变成故事，“不讲大道理，就讲我自己”，把从学前到高等教育的全学段资助体系梳理成通俗“大白话”，为现场宣讲打好底子。</w:t>
            </w:r>
          </w:p>
          <w:p>
            <w:r>
              <w:rPr>
                <w:rFonts w:ascii="宋体" w:hAnsi="宋体" w:eastAsia="宋体"/>
                <w:b w:val="0"/>
                <w:sz w:val="22"/>
              </w:rPr>
              <w:t>二、现身说法，把政策讲进群众心里</w:t>
            </w:r>
          </w:p>
          <w:p>
            <w:r>
              <w:rPr>
                <w:rFonts w:ascii="宋体" w:hAnsi="宋体" w:eastAsia="宋体"/>
                <w:b w:val="0"/>
                <w:sz w:val="22"/>
              </w:rPr>
              <w:t>7月12日单县一中、7月13日曹县三桐中学、7月19日菏泽会展中心，三场高招会现场，同样的政策对话一遍遍上演。面对“助学金和助学贷款到底啥不一样”的核心疑问，队员姚珂打了个比方：“助学金是国家补贴生活费、不用还；助学贷款是向国家借的学费预付款、毕业再还——一个帮现在，一个管长远。”队员杨雨萌则把申请国家励志奖学金的过程拆解成一步步可操作的指引。据7月28日教育部新闻发布会，我国助学贷款已形成以生源地贷款为主体、校园地贷款为补充的模式，确保“应助尽助”。讲哑的嗓子、湿透的队服，换来家长一句句“心里有底了”。</w:t>
            </w:r>
          </w:p>
          <w:p>
            <w:r>
              <w:rPr>
                <w:rFonts w:ascii="宋体" w:hAnsi="宋体" w:eastAsia="宋体"/>
                <w:b w:val="0"/>
                <w:sz w:val="22"/>
              </w:rPr>
              <w:t>三、三大创新，打通政策落地“最后一公里”</w:t>
            </w:r>
          </w:p>
          <w:p>
            <w:r>
              <w:rPr>
                <w:rFonts w:ascii="宋体" w:hAnsi="宋体" w:eastAsia="宋体"/>
                <w:b w:val="0"/>
                <w:sz w:val="22"/>
              </w:rPr>
              <w:t>一是把高考招生咨询会变成资助宣传主阵地，并以AI小程序作为现场赋能抓手。团队紧扣志愿填报关键节点，在单县一中、曹县三桐中学、菏泽会展中心三场高招会现场设点咨询、一对一答疑、案例讲解，由曾获国家资助的志愿者现身说法，重点解读生源地助学贷款、新生入学资助、困难认定及奖助学金等政策；现场同步摆放“资润启梦”AI政策小程序二维码，考生和家长扫码即可即时获取政策指引与常见问题解答，把线下咨询与线上智能服务无缝衔接。服务前置到入学准备阶段，变“被动等待咨询”为“主动靠前服务”，切实化解学费与就学顾虑。</w:t>
            </w:r>
          </w:p>
          <w:p>
            <w:r>
              <w:rPr>
                <w:rFonts w:ascii="宋体" w:hAnsi="宋体" w:eastAsia="宋体"/>
                <w:b w:val="0"/>
                <w:sz w:val="22"/>
              </w:rPr>
              <w:t>二是自主开发AI政策宣讲小程序，以数字化手段延展服务时空。小程序内置资助政策宣讲内容与常见问题自动回复，考生和家长可随时随地获取全天候、即时性线上指引，与线下现场服务形成互补，进一步扩大政策传播覆盖面与便捷度，让“政策找人”突破场次与地域限制。</w:t>
            </w:r>
          </w:p>
          <w:p>
            <w:r>
              <w:rPr>
                <w:rFonts w:ascii="宋体" w:hAnsi="宋体" w:eastAsia="宋体"/>
                <w:b w:val="0"/>
                <w:sz w:val="22"/>
              </w:rPr>
              <w:t>三是集中服务期结束后延伸服务链条，团队成员申请进入当地资助中心，参与暑期助学贷款勤工助学实践，协助办理贷款受理、续贷及档案整理等日常业务，在一线窗口精准服务有需求的家庭。三大创新层层递进，线上线下结合、集中服务与长效实践并重。</w:t>
            </w:r>
          </w:p>
          <w:p>
            <w:r>
              <w:rPr>
                <w:rFonts w:ascii="宋体" w:hAnsi="宋体" w:eastAsia="宋体"/>
                <w:b w:val="0"/>
                <w:sz w:val="22"/>
              </w:rPr>
              <w:t>经验与长效机制</w:t>
            </w:r>
          </w:p>
          <w:p>
            <w:r>
              <w:rPr>
                <w:rFonts w:ascii="宋体" w:hAnsi="宋体" w:eastAsia="宋体"/>
                <w:b w:val="0"/>
                <w:sz w:val="22"/>
              </w:rPr>
              <w:t>实践证明，“问卷摸排—通俗宣讲—数字赋能—一线实践”的闭环路径切实有效。队伍已形成可复制的宣讲话术库与数字化工具（AI小程序），并与高中、资助中心建立常态化联系，为后续“资助政策进万家”持续行动奠定基础。</w:t>
            </w:r>
          </w:p>
        </w:tc>
      </w:tr>
    </w:tbl>
    <w:p>
      <w:pPr>
        <w:rPr>
          <w:rFonts w:ascii="Arial"/>
          <w:sz w:val="21"/>
        </w:rPr>
      </w:pPr>
      <w:r/>
    </w:p>
    <w:p>
      <w:pPr>
        <w:sectPr>
          <w:footerReference w:type="default" r:id="rId1"/>
          <w:pgSz w:w="11900" w:h="16840"/>
          <w:pgMar w:top="1431" w:right="1115" w:bottom="1077" w:left="1224" w:header="0" w:footer="779" w:gutter="0"/>
        </w:sectPr>
        <w:rPr>
          <w:rFonts w:ascii="Arial" w:hAnsi="Arial" w:eastAsia="Arial" w:cs="Arial"/>
          <w:sz w:val="21"/>
          <w:szCs w:val="21"/>
        </w:rPr>
      </w:pPr>
    </w:p>
    <w:p>
      <w:pPr>
        <w:spacing w:before="90"/>
        <w:rPr/>
      </w:pPr>
      <w:r/>
    </w:p>
    <w:p>
      <w:pPr>
        <w:spacing w:before="90"/>
        <w:rPr/>
      </w:pPr>
      <w:r/>
    </w:p>
    <w:tbl>
      <w:tblPr>
        <w:tblStyle w:val="TableNormal"/>
        <w:tblW w:w="957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992"/>
        <w:gridCol w:w="7587"/>
      </w:tblGrid>
      <w:tr>
        <w:trPr>
          <w:trHeight w:val="1983" w:hRule="atLeast"/>
        </w:trPr>
        <w:tc>
          <w:tcPr>
            <w:tcW w:w="1992" w:type="dxa"/>
            <w:vAlign w:val="top"/>
          </w:tcPr>
          <w:p>
            <w:pPr>
              <w:spacing w:line="371" w:lineRule="auto"/>
              <w:rPr>
                <w:rFonts w:ascii="Arial"/>
                <w:sz w:val="21"/>
              </w:rPr>
            </w:pPr>
            <w:r/>
          </w:p>
          <w:p>
            <w:pPr>
              <w:pStyle w:val="TableText"/>
              <w:ind w:left="148"/>
              <w:spacing w:before="78" w:line="219" w:lineRule="auto"/>
              <w:rPr/>
            </w:pPr>
            <w:r>
              <w:rPr>
                <w:b/>
                <w:bCs/>
                <w:spacing w:val="-4"/>
              </w:rPr>
              <w:t>存在问题及意见</w:t>
            </w:r>
          </w:p>
          <w:p>
            <w:pPr>
              <w:pStyle w:val="TableText"/>
              <w:ind w:left="748"/>
              <w:spacing w:before="185" w:line="220" w:lineRule="auto"/>
              <w:rPr/>
            </w:pPr>
            <w:r>
              <w:rPr>
                <w:b/>
                <w:bCs/>
                <w:spacing w:val="-6"/>
              </w:rPr>
              <w:t>建议</w:t>
            </w:r>
          </w:p>
          <w:p>
            <w:pPr>
              <w:pStyle w:val="TableText"/>
              <w:ind w:left="328"/>
              <w:spacing w:before="193" w:line="219" w:lineRule="auto"/>
              <w:rPr/>
            </w:pPr>
            <w:r>
              <w:rPr>
                <w:b/>
                <w:bCs/>
                <w:spacing w:val="3"/>
              </w:rPr>
              <w:t>(200字左右)</w:t>
            </w:r>
          </w:p>
        </w:tc>
        <w:tc>
          <w:tcPr>
            <w:tcW w:w="7587" w:type="dxa"/>
            <w:vAlign w:val="top"/>
          </w:tcPr>
          <w:p>
            <w:r>
              <w:rPr>
                <w:rFonts w:ascii="宋体" w:hAnsi="宋体" w:eastAsia="宋体"/>
                <w:b w:val="0"/>
                <w:sz w:val="22"/>
              </w:rPr>
              <w:t>存在问题：一是基层家长政策知晓率仍偏低，部分家庭对“应助尽助”缺乏信心；二是方言与文化程度差异造成理解门槛，单次宣讲难以全覆盖；三是集中服务后缺乏长期跟踪，政策落地效果难持续。意见建议：建立“一村一档”困难学生台账，实现精准回访；扩大AI小程序覆盖面并开通图文版指引；推动与高中、乡镇资助站建立常态化宣讲机制，把集中服务延伸为全年陪伴。</w:t>
            </w:r>
          </w:p>
        </w:tc>
      </w:tr>
      <w:tr>
        <w:trPr>
          <w:trHeight w:val="6395" w:hRule="atLeast"/>
        </w:trPr>
        <w:tc>
          <w:tcPr>
            <w:tcW w:w="1992" w:type="dxa"/>
            <w:vAlign w:val="top"/>
          </w:tcPr>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TableText"/>
              <w:ind w:left="508"/>
              <w:spacing w:before="78" w:line="219" w:lineRule="auto"/>
              <w:rPr/>
            </w:pPr>
            <w:r>
              <w:rPr>
                <w:b/>
                <w:bCs/>
              </w:rPr>
              <w:t>典型案例</w:t>
            </w:r>
          </w:p>
          <w:p>
            <w:pPr>
              <w:pStyle w:val="TableText"/>
              <w:ind w:left="268"/>
              <w:spacing w:before="195" w:line="219" w:lineRule="auto"/>
              <w:rPr/>
            </w:pPr>
            <w:r>
              <w:rPr>
                <w:b/>
                <w:bCs/>
                <w:spacing w:val="2"/>
              </w:rPr>
              <w:t>(1500字左右)</w:t>
            </w:r>
          </w:p>
        </w:tc>
        <w:tc>
          <w:tcPr>
            <w:tcW w:w="7587" w:type="dxa"/>
            <w:vAlign w:val="top"/>
          </w:tcPr>
          <w:p>
            <w:r>
              <w:rPr>
                <w:rFonts w:ascii="宋体" w:hAnsi="宋体" w:eastAsia="宋体"/>
                <w:b w:val="0"/>
                <w:sz w:val="22"/>
              </w:rPr>
              <w:t>案例一：一场高招会上的“政策区别课”——把条文讲成听得懂的家常</w:t>
            </w:r>
          </w:p>
          <w:p>
            <w:r>
              <w:rPr>
                <w:rFonts w:ascii="宋体" w:hAnsi="宋体" w:eastAsia="宋体"/>
                <w:b w:val="0"/>
                <w:sz w:val="22"/>
              </w:rPr>
              <w:t>7月12日，单县一中高招会现场，闷热的午后挤满了揣着分数、选着前程的考生和家长。一位皮肤黝黑的父亲替女儿问出了最忐忑的问题：“这学上下来得花多少钱？家里能不能扛得住？”他的顾虑，也是山东药品食品职业学院“资润启梦”志愿服务队此行菏泽最想打消的。队伍由纪文慧、姚珂、杨雨萌、郭思彤等队员组成，带着一个明确使命：让国家的好政策，从纸面上走进人心里。</w:t>
            </w:r>
          </w:p>
          <w:p>
            <w:r>
              <w:rPr>
                <w:rFonts w:ascii="宋体" w:hAnsi="宋体" w:eastAsia="宋体"/>
                <w:b w:val="0"/>
                <w:sz w:val="22"/>
              </w:rPr>
              <w:t>准大一新生小刘紧接着追问出最核心的困惑：“学姐，助学金和助学贷款到底啥不一样？我该申请哪个？”队员姚珂没有照本宣科地背文件，而是打了个朴素又准确的比方：“助学金是国家和学校补贴你的生活费，不用还，让你安心吃饭、买书；助学贷款是你向国家借的学费预付款，毕业工作后再分期还。一个是帮现在，一个是管长远。”话音未落，一旁替女儿来的父亲松开了紧皱的眉头。这堂“政策区别课”精准命中了群众最关心的“钱从哪来、要不要还”两个核心，把抽象条文变成听得懂、用得上的生活语言。队员纪文慧更结合自己拿过国家助学金的经历现身说法：“不讲大道理，就讲我自己，大家听了就懂。”据7月28日教育部新闻发布会，我国助学贷款已形成以生源地贷款为主体、校园地贷款为补充的发展模式，确保“应助尽助”——这意味着无论考生户籍在哪、考到哪里，都有对应的贷款渠道兜底，学费不再是迈不进校门的坎。</w:t>
            </w:r>
          </w:p>
          <w:p>
            <w:r>
              <w:rPr>
                <w:rFonts w:ascii="宋体" w:hAnsi="宋体" w:eastAsia="宋体"/>
                <w:b w:val="0"/>
                <w:sz w:val="22"/>
              </w:rPr>
              <w:t>案例二：从“听不懂”到“心里有底”——数字赋能让服务突破场次</w:t>
            </w:r>
          </w:p>
          <w:p>
            <w:r>
              <w:rPr>
                <w:rFonts w:ascii="宋体" w:hAnsi="宋体" w:eastAsia="宋体"/>
                <w:b w:val="0"/>
                <w:sz w:val="22"/>
              </w:rPr>
              <w:t>在随后的曹县三桐中学高招会和菏泽会展中心，这样的对话一遍遍上演。队员杨雨萌把自己申请国家励志奖学金的全过程拆解成一步步可操作的指引，从表格怎么填到找谁盖章，讲得明明白白；一位母亲听完，拍了拍女儿的肩膀：“听姐姐这么说，咱就放心了。你只管好好学，别的有国家呢。”</w:t>
            </w:r>
          </w:p>
          <w:p>
            <w:r>
              <w:rPr>
                <w:rFonts w:ascii="宋体" w:hAnsi="宋体" w:eastAsia="宋体"/>
                <w:b w:val="0"/>
                <w:sz w:val="22"/>
              </w:rPr>
              <w:t>本次服务的最大创新，是团队自主开发的AI政策宣讲小程序。考生和家长现场扫码，即可获取全天候、即时性的政策指引与常见问题自动回复，把“面对面”延展为“随时随地的陪伴”，让“政策找人”突破场次与地域限制。夕阳西下，最后一场咨询会收摊，一个听过讲解的女生跑回来，往队员手里塞了两瓶水，说了句“姐姐们辛苦了”便转身跑开。两瓶水，是群众最朴素的认可。</w:t>
            </w:r>
          </w:p>
          <w:p>
            <w:r>
              <w:rPr>
                <w:rFonts w:ascii="宋体" w:hAnsi="宋体" w:eastAsia="宋体"/>
                <w:b w:val="0"/>
                <w:sz w:val="22"/>
              </w:rPr>
              <w:t>三场活动横跨单县、曹县和菏泽城区，队员顶着烈日发出数百份折页、面对面聊了上千人。让每一分好政策变成普通人家看得见、摸得着的希望——这正是“青春筑梦”最实在的注脚：用面对面答疑消解顾虑，用数字化工具延伸服务，用亲身经历印证政策温度，彻彻底底打通政策落地的“最后一公里”。</w:t>
            </w:r>
          </w:p>
        </w:tc>
      </w:tr>
      <w:tr>
        <w:trPr>
          <w:trHeight w:val="3562" w:hRule="atLeast"/>
        </w:trPr>
        <w:tc>
          <w:tcPr>
            <w:tcW w:w="1992" w:type="dxa"/>
            <w:vAlign w:val="top"/>
          </w:tcPr>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ind w:left="508"/>
              <w:spacing w:before="78" w:line="220" w:lineRule="auto"/>
              <w:rPr/>
            </w:pPr>
            <w:r>
              <w:rPr>
                <w:b/>
                <w:bCs/>
              </w:rPr>
              <w:t>活动照片</w:t>
            </w:r>
          </w:p>
        </w:tc>
        <w:tc>
          <w:tcPr>
            <w:tcW w:w="7587" w:type="dxa"/>
            <w:vAlign w:val="top"/>
          </w:tcPr>
          <w:p>
            <w:pPr>
              <w:jc w:val="center"/>
            </w:pPr>
            <w:r>
              <w:drawing>
                <wp:inline>
                  <wp:extent cx="4680000" cy="3508628"/>
                  <wp:docPr id="1" name="Picture 1"/>
                  <wp:cNvGraphicFramePr>
                    <a:graphicFrameLocks noChangeAspect="1"/>
                  </wp:cNvGraphicFramePr>
                  <a:graphic>
                    <a:graphicData uri="http://schemas.openxmlformats.org/drawingml/2006/picture">
                      <pic:pic>
                        <pic:nvPicPr>
                          <pic:cNvPr id="0" name="photo_1.jpeg"/>
                          <pic:cNvPicPr/>
                        </pic:nvPicPr>
                        <pic:blipFill>
                          <a:blip r:embed="rId6"/>
                          <a:stretch>
                            <a:fillRect/>
                          </a:stretch>
                        </pic:blipFill>
                        <pic:spPr>
                          <a:xfrm>
                            <a:off x="0" y="0"/>
                            <a:ext cx="4680000" cy="3508628"/>
                          </a:xfrm>
                          <a:prstGeom prst="rect"/>
                        </pic:spPr>
                      </pic:pic>
                    </a:graphicData>
                  </a:graphic>
                </wp:inline>
              </w:drawing>
            </w:r>
          </w:p>
          <w:p>
            <w:pPr>
              <w:jc w:val="center"/>
            </w:pPr>
            <w:r>
              <w:rPr>
                <w:rFonts w:ascii="黑体" w:hAnsi="黑体" w:eastAsia="黑体"/>
                <w:b w:val="0"/>
                <w:sz w:val="21"/>
              </w:rPr>
              <w:t>图1：“资润启梦”志愿服务队在单县一中高招会现场</w:t>
            </w:r>
          </w:p>
          <w:p>
            <w:pPr>
              <w:jc w:val="center"/>
            </w:pPr>
            <w:r>
              <w:drawing>
                <wp:inline>
                  <wp:extent cx="4680000" cy="3508628"/>
                  <wp:docPr id="2" name="Picture 2"/>
                  <wp:cNvGraphicFramePr>
                    <a:graphicFrameLocks noChangeAspect="1"/>
                  </wp:cNvGraphicFramePr>
                  <a:graphic>
                    <a:graphicData uri="http://schemas.openxmlformats.org/drawingml/2006/picture">
                      <pic:pic>
                        <pic:nvPicPr>
                          <pic:cNvPr id="0" name="photo_2.jpeg"/>
                          <pic:cNvPicPr/>
                        </pic:nvPicPr>
                        <pic:blipFill>
                          <a:blip r:embed="rId7"/>
                          <a:stretch>
                            <a:fillRect/>
                          </a:stretch>
                        </pic:blipFill>
                        <pic:spPr>
                          <a:xfrm>
                            <a:off x="0" y="0"/>
                            <a:ext cx="4680000" cy="3508628"/>
                          </a:xfrm>
                          <a:prstGeom prst="rect"/>
                        </pic:spPr>
                      </pic:pic>
                    </a:graphicData>
                  </a:graphic>
                </wp:inline>
              </w:drawing>
            </w:r>
          </w:p>
          <w:p>
            <w:pPr>
              <w:jc w:val="center"/>
            </w:pPr>
            <w:r>
              <w:rPr>
                <w:rFonts w:ascii="黑体" w:hAnsi="黑体" w:eastAsia="黑体"/>
                <w:b w:val="0"/>
                <w:sz w:val="21"/>
              </w:rPr>
              <w:t>图2：队员郭思彤（右）在曹县三桐中学高招会现场宣讲资助政策</w:t>
            </w:r>
          </w:p>
          <w:p>
            <w:pPr>
              <w:jc w:val="center"/>
            </w:pPr>
            <w:r>
              <w:drawing>
                <wp:inline>
                  <wp:extent cx="4680000" cy="3508628"/>
                  <wp:docPr id="3" name="Picture 3"/>
                  <wp:cNvGraphicFramePr>
                    <a:graphicFrameLocks noChangeAspect="1"/>
                  </wp:cNvGraphicFramePr>
                  <a:graphic>
                    <a:graphicData uri="http://schemas.openxmlformats.org/drawingml/2006/picture">
                      <pic:pic>
                        <pic:nvPicPr>
                          <pic:cNvPr id="0" name="photo_3.jpeg"/>
                          <pic:cNvPicPr/>
                        </pic:nvPicPr>
                        <pic:blipFill>
                          <a:blip r:embed="rId8"/>
                          <a:stretch>
                            <a:fillRect/>
                          </a:stretch>
                        </pic:blipFill>
                        <pic:spPr>
                          <a:xfrm>
                            <a:off x="0" y="0"/>
                            <a:ext cx="4680000" cy="3508628"/>
                          </a:xfrm>
                          <a:prstGeom prst="rect"/>
                        </pic:spPr>
                      </pic:pic>
                    </a:graphicData>
                  </a:graphic>
                </wp:inline>
              </w:drawing>
            </w:r>
          </w:p>
          <w:p>
            <w:pPr>
              <w:jc w:val="center"/>
            </w:pPr>
            <w:r>
              <w:rPr>
                <w:rFonts w:ascii="黑体" w:hAnsi="黑体" w:eastAsia="黑体"/>
                <w:b w:val="0"/>
                <w:sz w:val="21"/>
              </w:rPr>
              <w:t>图3：队员杨雨萌（右）在曹县高招会现场为家长讲解政策</w:t>
            </w:r>
          </w:p>
          <w:p>
            <w:pPr>
              <w:jc w:val="center"/>
            </w:pPr>
            <w:r>
              <w:drawing>
                <wp:inline>
                  <wp:extent cx="4680000" cy="3508628"/>
                  <wp:docPr id="4" name="Picture 4"/>
                  <wp:cNvGraphicFramePr>
                    <a:graphicFrameLocks noChangeAspect="1"/>
                  </wp:cNvGraphicFramePr>
                  <a:graphic>
                    <a:graphicData uri="http://schemas.openxmlformats.org/drawingml/2006/picture">
                      <pic:pic>
                        <pic:nvPicPr>
                          <pic:cNvPr id="0" name="photo_4.jpeg"/>
                          <pic:cNvPicPr/>
                        </pic:nvPicPr>
                        <pic:blipFill>
                          <a:blip r:embed="rId9"/>
                          <a:stretch>
                            <a:fillRect/>
                          </a:stretch>
                        </pic:blipFill>
                        <pic:spPr>
                          <a:xfrm>
                            <a:off x="0" y="0"/>
                            <a:ext cx="4680000" cy="3508628"/>
                          </a:xfrm>
                          <a:prstGeom prst="rect"/>
                        </pic:spPr>
                      </pic:pic>
                    </a:graphicData>
                  </a:graphic>
                </wp:inline>
              </w:drawing>
            </w:r>
          </w:p>
          <w:p>
            <w:pPr>
              <w:jc w:val="center"/>
            </w:pPr>
            <w:r>
              <w:rPr>
                <w:rFonts w:ascii="黑体" w:hAnsi="黑体" w:eastAsia="黑体"/>
                <w:b w:val="0"/>
                <w:sz w:val="21"/>
              </w:rPr>
              <w:t>图4：服务队在菏泽市招生考试服务中心前合影</w:t>
            </w:r>
          </w:p>
        </w:tc>
      </w:tr>
    </w:tbl>
    <w:p>
      <w:pPr>
        <w:rPr>
          <w:rFonts w:ascii="Arial"/>
          <w:sz w:val="21"/>
        </w:rPr>
      </w:pPr>
      <w:r/>
    </w:p>
    <w:sectPr>
      <w:footerReference w:type="default" r:id="rId2"/>
      <w:pgSz w:w="11900" w:h="16840"/>
      <w:pgMar w:top="1431" w:right="1105" w:bottom="1086" w:left="1204" w:header="0" w:footer="774"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64"/>
      <w:spacing w:line="231" w:lineRule="auto"/>
      <w:rPr>
        <w:rFonts w:ascii="SimSun" w:hAnsi="SimSun" w:eastAsia="SimSun" w:cs="SimSun"/>
        <w:sz w:val="23"/>
        <w:szCs w:val="23"/>
      </w:rPr>
    </w:pPr>
    <w:r>
      <w:rPr>
        <w:rFonts w:ascii="SimSun" w:hAnsi="SimSun" w:eastAsia="SimSun" w:cs="SimSun"/>
        <w:sz w:val="23"/>
        <w:szCs w:val="23"/>
        <w:spacing w:val="-3"/>
      </w:rPr>
      <w:t>—9—</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04"/>
      <w:spacing w:before="1" w:line="231" w:lineRule="auto"/>
      <w:rPr>
        <w:rFonts w:ascii="SimSun" w:hAnsi="SimSun" w:eastAsia="SimSun" w:cs="SimSun"/>
        <w:sz w:val="24"/>
        <w:szCs w:val="24"/>
      </w:rPr>
    </w:pPr>
    <w:r>
      <w:rPr>
        <w:rFonts w:ascii="SimSun" w:hAnsi="SimSun" w:eastAsia="SimSun" w:cs="SimSun"/>
        <w:sz w:val="24"/>
        <w:szCs w:val="24"/>
        <w:spacing w:val="-2"/>
      </w:rPr>
      <w:t>—10—</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TableText">
    <w:name w:val="Table Text"/>
    <w:basedOn w:val="Normal"/>
    <w:semiHidden/>
    <w:qFormat/>
    <w:pPr/>
    <w:rPr>
      <w:rFonts w:ascii="SimSun" w:hAnsi="SimSun" w:eastAsia="SimSun" w:cs="SimSun"/>
      <w:sz w:val="24"/>
      <w:szCs w:val="24"/>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footer" Target="footer2.xml"/><Relationship Id="rId1"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2026-08-26T15:44:11Z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2026-08-26T15:44:11</vt:filetime>
  </property>
  <property fmtid="{D5CDD505-2E9C-101B-9397-08002B2CF9AE}" pid="4" name="UsrData">
    <vt:lpwstr>6a8e9949dfbac1001f63bbe2wl</vt:lpwstr>
  </property>
</Properties>
</file>