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  <w:jc w:val="center"/>
        <w:rPr>
          <w:rFonts w:hint="eastAsia" w:asciiTheme="minorEastAsia" w:hAnsiTheme="minorEastAsia" w:eastAsiaTheme="minorEastAsia" w:cstheme="minorEastAsia"/>
          <w:b/>
          <w:bCs/>
          <w:sz w:val="44"/>
          <w:szCs w:val="52"/>
        </w:rPr>
      </w:pPr>
      <w:bookmarkStart w:id="0" w:name="_GoBack"/>
      <w:bookmarkEnd w:id="0"/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《以动代屏 向光而行》</w:t>
      </w:r>
    </w:p>
    <w:p>
      <w:pPr>
        <w:ind w:firstLine="482" w:firstLineChars="200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2026暑期，山东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药品食品职业学院质量管理系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“童健韶华”服务队赴威海环翠区黄家皂幼儿园、蓝海、西海社区，开展“以动代屏”儿童健康实践，服务百余名孩童。</w:t>
      </w:r>
    </w:p>
    <w:p>
      <w:pPr>
        <w:ind w:firstLine="482" w:firstLineChars="200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前期调研发现城郊儿童沉迷电子设备、户外活动不足、家长缺乏科学引导。团队打造网络素养宣讲+趣味体能运动会两套可复用服务模块。</w:t>
      </w:r>
    </w:p>
    <w:p>
      <w:pPr>
        <w:ind w:firstLine="241" w:firstLineChars="100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1.幼儿园课堂：开设防沉迷特色课，以互动游戏科普健康上网，和孩子共同签订手写上网契约，给家长提供亲子管教实操方法。</w:t>
      </w:r>
    </w:p>
    <w:p>
      <w:pPr>
        <w:ind w:firstLine="241" w:firstLineChars="100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2.社区趣味运动会：设置跳房子、三人两足、沙包、集体跳绳等项目，引导孩子走出屏幕、运动健身</w:t>
      </w:r>
    </w:p>
    <w:p>
      <w:pPr>
        <w:ind w:firstLine="482" w:firstLineChars="200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活动收获学校、社区、家长一致好评，有效解决家庭子女暑期引导难题，队员全程自主策划落地，完成一堂行走思政课。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后续团队将依托大学生进社区平台，把“以动代屏”模式推广至威海更多乡村、社区，持续守护少年儿童身心健康。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eastAsia="zh-CN"/>
        </w:rPr>
        <w:drawing>
          <wp:inline distT="0" distB="0" distL="114300" distR="114300">
            <wp:extent cx="2668905" cy="1853565"/>
            <wp:effectExtent l="0" t="0" r="7620" b="3810"/>
            <wp:docPr id="2" name="图片 2" descr="030a19c6df433ffbff98a0269a011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0a19c6df433ffbff98a0269a0119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eastAsia="zh-CN"/>
        </w:rPr>
        <w:drawing>
          <wp:inline distT="0" distB="0" distL="114300" distR="114300">
            <wp:extent cx="2508885" cy="1885315"/>
            <wp:effectExtent l="0" t="0" r="5715" b="635"/>
            <wp:docPr id="3" name="图片 3" descr="31609faa6dc297594b7ca811e483a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1609faa6dc297594b7ca811e483aee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89225" cy="1795780"/>
            <wp:effectExtent l="0" t="0" r="6350" b="4445"/>
            <wp:docPr id="4" name="图片 4" descr="823367d1362ad00f4561c6987d0fd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23367d1362ad00f4561c6987d0fd8f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0155" cy="1798955"/>
            <wp:effectExtent l="0" t="0" r="4445" b="1270"/>
            <wp:docPr id="5" name="图片 5" descr="a7f7349491986075a391bcff9eba8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7f7349491986075a391bcff9eba82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50490" cy="1889125"/>
            <wp:effectExtent l="0" t="0" r="6985" b="6350"/>
            <wp:docPr id="6" name="图片 6" descr="3a673d61ea3b6bcb6dac3b1a28eb2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a673d61ea3b6bcb6dac3b1a28eb23a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00960" cy="1891030"/>
            <wp:effectExtent l="0" t="0" r="8890" b="4445"/>
            <wp:docPr id="7" name="图片 7" descr="2125958b8ddb75688a33a648e2fa9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25958b8ddb75688a33a648e2fa91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DE17A56"/>
    <w:rsid w:val="0DE17A56"/>
    <w:rsid w:val="306C7EFE"/>
    <w:rsid w:val="3D147B43"/>
    <w:rsid w:val="58DD5530"/>
    <w:rsid w:val="69B9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2026-07-29T08:19:00Z</dcterms:created>
  <dc:creator>不吃鸡蛋葱</dc:creator>
  <cp:lastModifiedBy>这也是阎总</cp:lastModifiedBy>
  <dcterms:modified xsi:type="dcterms:W3CDTF">2026-07-31T08:06:59Z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939AF11D635C4C2FB4271097100A7410_13</vt:lpwstr>
  </property>
  <property fmtid="{D5CDD505-2E9C-101B-9397-08002B2CF9AE}" pid="4" name="KSOTemplateDocerSaveRecord">
    <vt:lpwstr>eyJoZGlkIjoiOGQ0MjMwNzJkMmFkYjUyZTEwOTY1ZmUyMmEzMmY0MDIiLCJ1c2VySWQiOiIxMzU0OTM5NTQ5In0=</vt:lpwstr>
  </property>
</Properties>
</file>