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2" w:firstLineChars="200"/>
        <w:jc w:val="center"/>
        <w:rPr>
          <w:rFonts w:hint="eastAsia" w:ascii="方正仿宋_GB2312" w:hAnsi="方正仿宋_GB2312" w:eastAsia="方正仿宋_GB2312" w:cs="方正仿宋_GB2312"/>
          <w:b/>
          <w:bCs/>
          <w:sz w:val="44"/>
          <w:szCs w:val="52"/>
        </w:rPr>
      </w:pPr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《“</w:t>
      </w:r>
      <w:bookmarkStart w:id="0" w:name="_GoBack"/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网络沉迷巧疏导，体质提升正当时</w:t>
      </w:r>
      <w:bookmarkEnd w:id="0"/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”》</w:t>
      </w:r>
    </w:p>
    <w:p>
      <w:pPr>
        <w:ind w:firstLine="482" w:firstLineChars="200"/>
        <w:rPr>
          <w:rFonts w:hint="eastAsia" w:ascii="方正仿宋_GB2312" w:hAnsi="方正仿宋_GB2312" w:eastAsia="方正仿宋_GB2312" w:cs="方正仿宋_GB2312"/>
          <w:b/>
          <w:bCs/>
          <w:sz w:val="24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b/>
          <w:bCs/>
          <w:sz w:val="24"/>
          <w:szCs w:val="32"/>
          <w:lang w:eastAsia="zh-CN"/>
        </w:rPr>
        <w:t>暑假期间，山东药品食品职业学院质量管理系“童健韶华”志愿服务队走进威海市环翠区黄家皂幼儿园及蓝海、西海两个社区，面向百余名儿童、近二十位家长开展“以动代屏”儿童健康守护行动。针对调研中发现的乡村儿童“屏幕依赖”突出问题，团队对症下药，确立“疏堵结合”理念——用契约规则“堵”住过度用网，用趣味运动“疏”导户外兴趣，创新构建“网络素养启蒙+体质提升运动会”双模块服务体系。在网络素养模块，通过“网络红绿灯”互动游戏、手写“健康用网契约”引导儿童确立用网边界；在体质提升模块，通过跳房子、接力赛跑等趣味运动让儿童在阳光下尽情奔跑。青年学子以脚步丈量基层需求，将高校健康促进资源精准下沉乡村一线，在助力乡村全面振兴的火热实践中写下青春注脚。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eastAsia="zh-CN"/>
        </w:rPr>
        <w:drawing>
          <wp:inline distT="0" distB="0" distL="114300" distR="114300">
            <wp:extent cx="2668905" cy="1853565"/>
            <wp:effectExtent l="0" t="0" r="7620" b="3810"/>
            <wp:docPr id="2" name="图片 2" descr="030a19c6df433ffbff98a0269a011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30a19c6df433ffbff98a0269a0119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32"/>
          <w:lang w:eastAsia="zh-CN"/>
        </w:rPr>
        <w:drawing>
          <wp:inline distT="0" distB="0" distL="114300" distR="114300">
            <wp:extent cx="2508885" cy="1885315"/>
            <wp:effectExtent l="0" t="0" r="5715" b="635"/>
            <wp:docPr id="3" name="图片 3" descr="31609faa6dc297594b7ca811e483ae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1609faa6dc297594b7ca811e483aee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89225" cy="1795780"/>
            <wp:effectExtent l="0" t="0" r="6350" b="4445"/>
            <wp:docPr id="4" name="图片 4" descr="823367d1362ad00f4561c6987d0fd8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23367d1362ad00f4561c6987d0fd8f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92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0155" cy="1798955"/>
            <wp:effectExtent l="0" t="0" r="4445" b="1270"/>
            <wp:docPr id="5" name="图片 5" descr="a7f7349491986075a391bcff9eba8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7f7349491986075a391bcff9eba828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50490" cy="1889125"/>
            <wp:effectExtent l="0" t="0" r="6985" b="6350"/>
            <wp:docPr id="6" name="图片 6" descr="3a673d61ea3b6bcb6dac3b1a28eb2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a673d61ea3b6bcb6dac3b1a28eb23a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49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00960" cy="1891030"/>
            <wp:effectExtent l="0" t="0" r="8890" b="4445"/>
            <wp:docPr id="7" name="图片 7" descr="2125958b8ddb75688a33a648e2fa9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25958b8ddb75688a33a648e2fa91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65BD8D35-2EEF-4E4F-9104-308329061B95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DE17A56"/>
    <w:rsid w:val="0DE17A56"/>
    <w:rsid w:val="2C3F4CAD"/>
    <w:rsid w:val="306C7EFE"/>
    <w:rsid w:val="3D147B43"/>
    <w:rsid w:val="58DD5530"/>
    <w:rsid w:val="69B9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2026-07-29T08:19:00Z</dcterms:created>
  <dc:creator>不吃鸡蛋葱</dc:creator>
  <cp:lastModifiedBy>这也是阎总</cp:lastModifiedBy>
  <dcterms:modified xsi:type="dcterms:W3CDTF">2026-08-03T08:39:59Z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5C53FBE730814A1B83A4A722C65D9FB4_13</vt:lpwstr>
  </property>
  <property fmtid="{D5CDD505-2E9C-101B-9397-08002B2CF9AE}" pid="4" name="KSOTemplateDocerSaveRecord">
    <vt:lpwstr>eyJoZGlkIjoiOGQ0MjMwNzJkMmFkYjUyZTEwOTY1ZmUyMmEzMmY0MDIiLCJ1c2VySWQiOiIxMzU0OTM5NTQ5In0=</vt:lpwstr>
  </property>
</Properties>
</file>