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f7f020d49806ff81b2e94e568edb5b2a758b8aa"/>
    <w:p>
      <w:pPr>
        <w:pStyle w:val="Heading1"/>
      </w:pPr>
      <w:r>
        <w:t xml:space="preserve">Internal Position or External Conditions? A SWOT-AHP Analysis of Farmers’ Livestream E-commerce Participation and Performance in Rural China</w:t>
      </w:r>
    </w:p>
    <w:p>
      <w:r>
        <w:pict>
          <v:rect style="width:0;height:1.5pt" o:hralign="center" o:hrstd="t" o:hr="t"/>
        </w:pict>
      </w:r>
    </w:p>
    <w:bookmarkStart w:id="20" w:name="abstract"/>
    <w:p>
      <w:pPr>
        <w:pStyle w:val="Heading2"/>
      </w:pPr>
      <w:r>
        <w:t xml:space="preserve">Abstract</w:t>
      </w:r>
    </w:p>
    <w:p>
      <w:pPr>
        <w:pStyle w:val="FirstParagraph"/>
      </w:pPr>
      <w:r>
        <w:rPr>
          <w:iCs/>
          <w:i/>
        </w:rPr>
        <w:t xml:space="preserve">[TO BE WRITTEN AFTER FULL TEXT — placeholder]</w:t>
      </w:r>
    </w:p>
    <w:p>
      <w:pPr>
        <w:pStyle w:val="BodyText"/>
      </w:pPr>
      <w:r>
        <w:rPr>
          <w:bCs/>
          <w:b/>
        </w:rPr>
        <w:t xml:space="preserve">Keywords</w:t>
      </w:r>
      <w:r>
        <w:t xml:space="preserve">: livestream e-commerce; SWOT-AHP; farmer participation; agricultural performance; rural China</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rapid expansion of e-commerce into China’s rural sector represents one of the most significant transformations in agricultural marketing over the past decade. Rural online retail sales reached 2.49 trillion yuan in 2023, reflecting sustained double-digit growth driven by government-led digitalization initiatives and the penetration of major e-commerce platforms into township and village markets (Ministry of Agriculture and Rural Affairs of the People’s Republic of China, 2024). Within this broader transformation, livestream e-commerce has emerged as a distinctive channel through which farmers can market agricultural products directly to consumers, bypassing traditional intermediaries and leveraging social platform infrastructure for real-time sales. National policies, including the</w:t>
      </w:r>
      <w:r>
        <w:t xml:space="preserve"> </w:t>
      </w:r>
      <w:r>
        <w:t xml:space="preserve">“</w:t>
      </w:r>
      <w:r>
        <w:t xml:space="preserve">Digital Village</w:t>
      </w:r>
      <w:r>
        <w:t xml:space="preserve">”</w:t>
      </w:r>
      <w:r>
        <w:t xml:space="preserve"> </w:t>
      </w:r>
      <w:r>
        <w:t xml:space="preserve">strategy and successive</w:t>
      </w:r>
      <w:r>
        <w:t xml:space="preserve"> </w:t>
      </w:r>
      <w:r>
        <w:t xml:space="preserve">“</w:t>
      </w:r>
      <w:r>
        <w:t xml:space="preserve">No. 1 Central Documents</w:t>
      </w:r>
      <w:r>
        <w:t xml:space="preserve">”</w:t>
      </w:r>
      <w:r>
        <w:t xml:space="preserve"> </w:t>
      </w:r>
      <w:r>
        <w:t xml:space="preserve">emphasizing rural digital economy development, have actively encouraged farmer participation in these channels.</w:t>
      </w:r>
    </w:p>
    <w:p>
      <w:pPr>
        <w:pStyle w:val="BodyText"/>
      </w:pPr>
      <w:r>
        <w:t xml:space="preserve">Yet participation in livestream e-commerce among rural farmers is neither uniform nor automatic. Farmers differ substantially in their internal capabilities—production quality, technical competence, marketing skills, and operational scale—as well as in the external conditions they face, including market demand, government support, platform infrastructure, and competitive and trust-related threats. Existing research on technology and e-commerce adoption in agricultural settings has largely followed the Technology Acceptance Model (TAM) or Theory of Planned Behavior (TPB) traditions, identifying individual-level perceptual and attitudinal predictors of adoption intention (Chen et al., 2024; Nguyen et al., 2022). While these frameworks have generated useful insights, they typically focus on the participation decision alone and do not speak to what happens after farmers enter the channel—specifically, whether the same factors that predict participation also predict subsequent performance. Separately, the SWOT-AHP tradition has been widely applied to organizational and regional strategic assessment in agriculture (Gürel, 2017), but has not been adapted for individual-level quantitative analysis linking strategic position to behavioral outcomes.</w:t>
      </w:r>
    </w:p>
    <w:p>
      <w:pPr>
        <w:pStyle w:val="BodyText"/>
      </w:pPr>
      <w:r>
        <w:t xml:space="preserve">These two gaps converge into a single methodological opportunity: to develop an individual-level SWOT-AHP quantification framework that enables systematic comparison of internal and external strategic positions across a farmer sample, and to apply this framework across both the participation and performance stages. This paper addresses three research questions:</w:t>
      </w:r>
    </w:p>
    <w:p>
      <w:pPr>
        <w:numPr>
          <w:ilvl w:val="0"/>
          <w:numId w:val="1001"/>
        </w:numPr>
        <w:pStyle w:val="Compact"/>
      </w:pPr>
      <w:r>
        <w:rPr>
          <w:bCs/>
          <w:b/>
        </w:rPr>
        <w:t xml:space="preserve">RQ1</w:t>
      </w:r>
      <w:r>
        <w:t xml:space="preserve">: How do the four SWOT dimensions—strengths (S), weaknesses (W), opportunities (O), and threats (T)—predict farmers’ decisions to participate in livestream e-commerce?</w:t>
      </w:r>
    </w:p>
    <w:p>
      <w:pPr>
        <w:numPr>
          <w:ilvl w:val="0"/>
          <w:numId w:val="1001"/>
        </w:numPr>
        <w:pStyle w:val="Compact"/>
      </w:pPr>
      <w:r>
        <w:rPr>
          <w:bCs/>
          <w:b/>
        </w:rPr>
        <w:t xml:space="preserve">RQ2</w:t>
      </w:r>
      <w:r>
        <w:t xml:space="preserve">: What is the relative predictive weight of internal strategic position (net S–W balance) versus external strategic position (net O–T balance) on participation?</w:t>
      </w:r>
    </w:p>
    <w:p>
      <w:pPr>
        <w:numPr>
          <w:ilvl w:val="0"/>
          <w:numId w:val="1001"/>
        </w:numPr>
        <w:pStyle w:val="Compact"/>
      </w:pPr>
      <w:r>
        <w:rPr>
          <w:bCs/>
          <w:b/>
        </w:rPr>
        <w:t xml:space="preserve">RQ3</w:t>
      </w:r>
      <w:r>
        <w:t xml:space="preserve">: Among participating farmers, which strategic dimensions predict performance outcomes, and does the pattern differ from the participation stage?</w:t>
      </w:r>
    </w:p>
    <w:p>
      <w:pPr>
        <w:pStyle w:val="FirstParagraph"/>
      </w:pPr>
      <w:r>
        <w:t xml:space="preserve">Drawing on survey data from 293 farmers in three villages in Wuchang City, Heilongjiang Province, we construct AHP-weighted SWOT indices at the individual level and apply binary logistic and ordered logistic regression models across the two stages. The results reveal a systematic two-stage separation: external strategic conditions dominate the participation decision, while internal capability is the primary determinant of post-participation performance. This finding challenges the implicit assumption in adoption research that the same factors driving entry also drive success, and carries direct implications for the sequencing of policy and extension interventions.</w:t>
      </w:r>
    </w:p>
    <w:p>
      <w:r>
        <w:pict>
          <v:rect style="width:0;height:1.5pt" o:hralign="center" o:hrstd="t" o:hr="t"/>
        </w:pict>
      </w:r>
    </w:p>
    <w:bookmarkEnd w:id="21"/>
    <w:bookmarkStart w:id="26" w:name="literature-review"/>
    <w:p>
      <w:pPr>
        <w:pStyle w:val="Heading2"/>
      </w:pPr>
      <w:r>
        <w:t xml:space="preserve">2. Literature Review</w:t>
      </w:r>
    </w:p>
    <w:bookmarkStart w:id="22" w:name="Xe0b45d2e854ac554a7d0b59cbdc66e887381db0"/>
    <w:p>
      <w:pPr>
        <w:pStyle w:val="Heading3"/>
      </w:pPr>
      <w:r>
        <w:t xml:space="preserve">2.1 Determinants of Rural E-commerce Adoption</w:t>
      </w:r>
    </w:p>
    <w:p>
      <w:pPr>
        <w:pStyle w:val="FirstParagraph"/>
      </w:pPr>
      <w:r>
        <w:t xml:space="preserve">A substantial body of empirical research has examined the factors shaping farmers’ decisions to adopt e-commerce and digital marketing channels. Early contributions applied TAM and TPB frameworks to identify perceived usefulness, perceived ease of use, and behavioral intention as core adoption predictors (Chen et al., 2024; Nguyen et al., 2022). These studies consistently find that both technology-side attributes (platform usability, digital infrastructure) and social-environmental factors (peer behavior, government support, platform assistance) shape adoption intention. Nguyen et al. (2022), examining Vietnamese tea farmers’ intentions to participate in livestream sales, demonstrate that barrier factors—including lack of knowledge, professional support, and normative barriers—significantly reduce perceived ease of use and usefulness, underscoring that external conditions constrain participation beyond individual attitudes.</w:t>
      </w:r>
    </w:p>
    <w:p>
      <w:pPr>
        <w:pStyle w:val="BodyText"/>
      </w:pPr>
      <w:r>
        <w:t xml:space="preserve">Resource constraints constitute a second stream of explanation. Financial capital limitations, skill deficits, and operational scale barriers create entry thresholds that differentially sort farmers into participation and non-participation (Li et al., 2021). Li et al. (2021) find that e-commerce adopters obtain significantly higher household incomes than non-adopters in rural China, with gains concentrated in sales income—but their analysis also implies that the self-selection into adoption is shaped by resource endowments, since propensity score matching is required to address the non-random nature of adoption. The income gains documented post-adoption suggest that once farmers cross the participation threshold, additional factors—internal to the farmer—may drive performance heterogeneity.</w:t>
      </w:r>
    </w:p>
    <w:p>
      <w:pPr>
        <w:pStyle w:val="BodyText"/>
      </w:pPr>
      <w:r>
        <w:t xml:space="preserve">Despite this growing literature, two limitations are pervasive. First, studies typically model the participation decision without examining what predicts performance among participants. Second, frameworks that separately examine internal and external factors have not systematically quantified their relative contribution or tested whether their relative importance shifts across stages.</w:t>
      </w:r>
    </w:p>
    <w:bookmarkEnd w:id="22"/>
    <w:bookmarkStart w:id="23" w:name="X1a66f0413fdab16921b4b4745fa69204ad522e5"/>
    <w:p>
      <w:pPr>
        <w:pStyle w:val="Heading3"/>
      </w:pPr>
      <w:r>
        <w:t xml:space="preserve">2.2 SWOT-AHP in Agricultural Strategic Assessment</w:t>
      </w:r>
    </w:p>
    <w:p>
      <w:pPr>
        <w:pStyle w:val="FirstParagraph"/>
      </w:pPr>
      <w:r>
        <w:t xml:space="preserve">The SWOT framework—assessing Strengths, Weaknesses, Opportunities, and Threats—has been applied across multiple levels of analysis in agriculture, from enterprise strategy to regional development planning (Gürel, 2017). Gürel’s (2017) theoretical review explicitly recognizes that SWOT analysis operates across individual, organizational, national, and international levels, establishing the conceptual legitimacy of individual-level application. The combination of SWOT with the Analytic Hierarchy Process (AHP) enables quantification of qualitative strategic assessments: expert judgment is used to assign weights to dimensions and items, converting the qualitative SWOT matrix into a weighted scoring system.</w:t>
      </w:r>
    </w:p>
    <w:p>
      <w:pPr>
        <w:pStyle w:val="BodyText"/>
      </w:pPr>
      <w:r>
        <w:t xml:space="preserve">Within agricultural research, AHP has been applied to construct weighted composite indices at the individual farmer level. Takam Fongang et al. (2023) propose a composite index measuring conservation agriculture adoption among 144 maize and soybean farmers in Québec, using expert-elicited AHP weights to aggregate principle-level scores into a farm-level adoption index. This precedent directly demonstrates that expert AHP weighting combined with individual-level survey data can produce defensible composite indices for regression analysis. However, to our knowledge, no study has integrated SWOT dimensions with AHP weighting to construct individual-level strategic position indices and entered these indices into regression models predicting behavioral outcomes. This methodological gap—the absence of individual-level SWOT-AHP quantification in empirical adoption and performance research—motivates the present study’s analytical design.</w:t>
      </w:r>
    </w:p>
    <w:bookmarkEnd w:id="23"/>
    <w:bookmarkStart w:id="24" w:name="X9c50b133b064f98192c004c3ea2938db31a1b80"/>
    <w:p>
      <w:pPr>
        <w:pStyle w:val="Heading3"/>
      </w:pPr>
      <w:r>
        <w:t xml:space="preserve">2.3 Two-Stage Analysis of Participation and Performance</w:t>
      </w:r>
    </w:p>
    <w:p>
      <w:pPr>
        <w:pStyle w:val="FirstParagraph"/>
      </w:pPr>
      <w:r>
        <w:t xml:space="preserve">The conceptual distinction between participation and post-participation performance is well-established in the sample selection literature. Heckman’s (1979) seminal work demonstrates that when the decision to participate is non-random, ordinary regression on the participant subsample produces biased estimates unless the selection process is explicitly modeled. This insight has motivated two-stage and control-function approaches across a range of adoption and technology diffusion contexts.</w:t>
      </w:r>
    </w:p>
    <w:p>
      <w:pPr>
        <w:pStyle w:val="BodyText"/>
      </w:pPr>
      <w:r>
        <w:t xml:space="preserve">Beyond the econometric concern, the substantive question of whether participation and performance are driven by the same factors remains underexplored. Theoretical perspectives suggest they need not be: participation depends on overcoming entry barriers, which may be predominantly external (infrastructure, institutions, market conditions), while performance depends on exploiting advantages within the channel, which may require internal capabilities (skills, quality, scale). This theoretical expectation, however, has not been empirically tested in the livestream e-commerce context. The present study provides that test.</w:t>
      </w:r>
    </w:p>
    <w:bookmarkEnd w:id="24"/>
    <w:bookmarkStart w:id="25" w:name="synthesis"/>
    <w:p>
      <w:pPr>
        <w:pStyle w:val="Heading3"/>
      </w:pPr>
      <w:r>
        <w:t xml:space="preserve">2.4 Synthesis</w:t>
      </w:r>
    </w:p>
    <w:p>
      <w:pPr>
        <w:pStyle w:val="FirstParagraph"/>
      </w:pPr>
      <w:r>
        <w:t xml:space="preserve">The three literature streams converge on a single methodological and substantive gap: the need for a framework that (1) captures internal and external strategic factors simultaneously at the individual level, (2) quantifies their relative contributions through theory-grounded weighting, and (3) applies this framework across both the participation and performance stages. Our SWOT-AHP approach addresses this gap by translating the four SWOT dimensions into individual-level indices, using AHP to implement expert-grounded weighting, and deploying these indices in a two-stage regression design.</w:t>
      </w:r>
    </w:p>
    <w:p>
      <w:r>
        <w:pict>
          <v:rect style="width:0;height:1.5pt" o:hralign="center" o:hrstd="t" o:hr="t"/>
        </w:pict>
      </w:r>
    </w:p>
    <w:bookmarkEnd w:id="25"/>
    <w:bookmarkEnd w:id="26"/>
    <w:bookmarkStart w:id="30" w:name="conceptual-framework"/>
    <w:p>
      <w:pPr>
        <w:pStyle w:val="Heading2"/>
      </w:pPr>
      <w:r>
        <w:t xml:space="preserve">3. Conceptual Framework</w:t>
      </w:r>
    </w:p>
    <w:bookmarkStart w:id="27" w:name="theoretical-grounding"/>
    <w:p>
      <w:pPr>
        <w:pStyle w:val="Heading3"/>
      </w:pPr>
      <w:r>
        <w:t xml:space="preserve">3.1 Theoretical Grounding</w:t>
      </w:r>
    </w:p>
    <w:p>
      <w:pPr>
        <w:pStyle w:val="FirstParagraph"/>
      </w:pPr>
      <w:r>
        <w:t xml:space="preserve">The present framework draws on two complementary theoretical traditions. The Resource-Based View (RBV) of the firm (Barney, 1991) posits that sustained competitive advantage derives from internal resource heterogeneity—resources that are valuable, rare, inimitable, and non-substitutable. Translated to the individual farmer level, internal strengths (production quality, technical competence, communication skills, price competitiveness) represent resources that, net of internal weaknesses (scale constraints, financial limitations, experience deficits, equipment barriers), constitute the farmer’s internal strategic position. We operationalize this as the</w:t>
      </w:r>
      <w:r>
        <w:t xml:space="preserve"> </w:t>
      </w:r>
      <w:r>
        <w:rPr>
          <w:iCs/>
          <w:i/>
        </w:rPr>
        <w:t xml:space="preserve">net internal advantage</w:t>
      </w:r>
      <w:r>
        <w:t xml:space="preserve"> </w:t>
      </w:r>
      <w:r>
        <w:t xml:space="preserve">(Internal_diff = S_index − W_index): a positive value indicates that a farmer’s strengths dominate, while a negative value indicates weakness dominance.</w:t>
      </w:r>
    </w:p>
    <w:p>
      <w:pPr>
        <w:pStyle w:val="BodyText"/>
      </w:pPr>
      <w:r>
        <w:t xml:space="preserve">Institutional and infrastructure theory provides the external counterpart. Access to favorable market conditions, government policy support, platform ecosystems, and digital infrastructure constitutes the opportunity environment; consumer trust deficits, competitive rivalry, awareness gaps, and logistical constraints constitute the threat environment. The</w:t>
      </w:r>
      <w:r>
        <w:t xml:space="preserve"> </w:t>
      </w:r>
      <w:r>
        <w:rPr>
          <w:iCs/>
          <w:i/>
        </w:rPr>
        <w:t xml:space="preserve">net external condition</w:t>
      </w:r>
      <w:r>
        <w:t xml:space="preserve"> </w:t>
      </w:r>
      <w:r>
        <w:t xml:space="preserve">(External_diff = O_index − T_index) captures whether a farmer’s operating environment is net-favorable or net-unfavorable.</w:t>
      </w:r>
    </w:p>
    <w:p>
      <w:pPr>
        <w:pStyle w:val="BodyText"/>
      </w:pPr>
      <w:r>
        <w:t xml:space="preserve">The two indices together define a farmer’s strategic position in a two-dimensional space, which can be partitioned into four strategic types following the classic SWOT matrix: SO (strength-opportunity, both indices positive), WO (weakness-opportunity, internal negative, external positive), ST (strength-threat, internal positive, external negative), and WT (weakness-threat, both negative).</w:t>
      </w:r>
    </w:p>
    <w:bookmarkEnd w:id="27"/>
    <w:bookmarkStart w:id="28" w:name="two-stage-causal-logic"/>
    <w:p>
      <w:pPr>
        <w:pStyle w:val="Heading3"/>
      </w:pPr>
      <w:r>
        <w:t xml:space="preserve">3.2 Two-Stage Causal Logic</w:t>
      </w:r>
    </w:p>
    <w:p>
      <w:pPr>
        <w:pStyle w:val="FirstParagraph"/>
      </w:pPr>
      <w:r>
        <w:t xml:space="preserve">We hypothesize a two-stage separation consistent with both theoretical traditions and the sample-selection literature. In the participation stage, both internal and external conditions are expected to predict participation, but we argue that external conditions function as</w:t>
      </w:r>
      <w:r>
        <w:t xml:space="preserve"> </w:t>
      </w:r>
      <w:r>
        <w:rPr>
          <w:iCs/>
          <w:i/>
        </w:rPr>
        <w:t xml:space="preserve">entry conditions</w:t>
      </w:r>
      <w:r>
        <w:t xml:space="preserve">—threshold-type constraints that determine whether participation is feasible—while internal conditions represent enabling factors that lower the cost of entry. Crucially, when external conditions are highly unfavorable (high T, low O), even strong internal capabilities may be insufficient to induce participation, because the market and institutional environment renders the investment unjustifiable.</w:t>
      </w:r>
    </w:p>
    <w:p>
      <w:pPr>
        <w:pStyle w:val="BodyText"/>
      </w:pPr>
      <w:r>
        <w:t xml:space="preserve">In the performance stage, once farmers have crossed the participation threshold, the external environment is partly shared across participants in the same regional and platform context. Performance differentiation then depends on internal capabilities: farmers with stronger net internal advantages can produce higher-quality products, communicate more effectively with audiences, and build more durable customer relationships. External conditions, already partially controlled by the selection into participation, are expected to lose predictive power.</w:t>
      </w:r>
    </w:p>
    <w:p>
      <w:pPr>
        <w:pStyle w:val="BodyText"/>
      </w:pPr>
      <w:r>
        <w:t xml:space="preserve">This two-stage logic generates two pairs of directional hypotheses:</w:t>
      </w:r>
    </w:p>
    <w:p>
      <w:pPr>
        <w:pStyle w:val="BodyText"/>
      </w:pPr>
      <w:r>
        <w:rPr>
          <w:bCs/>
          <w:b/>
        </w:rPr>
        <w:t xml:space="preserve">H1</w:t>
      </w:r>
      <w:r>
        <w:t xml:space="preserve">: In the participation stage, External_diff is a stronger predictor of participation than Internal_diff.</w:t>
      </w:r>
    </w:p>
    <w:p>
      <w:pPr>
        <w:pStyle w:val="BodyText"/>
      </w:pPr>
      <w:r>
        <w:rPr>
          <w:bCs/>
          <w:b/>
        </w:rPr>
        <w:t xml:space="preserve">H2</w:t>
      </w:r>
      <w:r>
        <w:t xml:space="preserve">: In the participation stage, both O and T are significant predictors, while S is weaker or non-significant.</w:t>
      </w:r>
    </w:p>
    <w:p>
      <w:pPr>
        <w:pStyle w:val="BodyText"/>
      </w:pPr>
      <w:r>
        <w:rPr>
          <w:bCs/>
          <w:b/>
        </w:rPr>
        <w:t xml:space="preserve">H3</w:t>
      </w:r>
      <w:r>
        <w:t xml:space="preserve">: In the performance stage, Internal_diff is a significant positive predictor of performance.</w:t>
      </w:r>
    </w:p>
    <w:p>
      <w:pPr>
        <w:pStyle w:val="BodyText"/>
      </w:pPr>
      <w:r>
        <w:rPr>
          <w:bCs/>
          <w:b/>
        </w:rPr>
        <w:t xml:space="preserve">H4</w:t>
      </w:r>
      <w:r>
        <w:t xml:space="preserve">: In the performance stage, External_diff loses its predictive significance relative to the participation stage.</w:t>
      </w:r>
    </w:p>
    <w:bookmarkEnd w:id="28"/>
    <w:bookmarkStart w:id="29" w:name="index-construction"/>
    <w:p>
      <w:pPr>
        <w:pStyle w:val="Heading3"/>
      </w:pPr>
      <w:r>
        <w:t xml:space="preserve">3.3 Index Construction</w:t>
      </w:r>
    </w:p>
    <w:p>
      <w:pPr>
        <w:pStyle w:val="FirstParagraph"/>
      </w:pPr>
      <w:r>
        <w:t xml:space="preserve">The SWOT dimensions are each measured by four survey items on a Likert scale, scored and aggregated using AHP-derived weights (see §4.2 for measurement details). Figure 1 displays the AHP expert-derived dimension weights as a treemap, illustrating that expert judgment assigns substantially greater aggregate weight to internal dimensions (S = 0.391, W = 0.252; internal total = 0.643) than to external dimensions (O = 0.182, T = 0.174; external total = 0.357). This expert-weight distribution provides an important foil for the empirical results: to the extent that actual participation and performance are driven more by external conditions than internal capabilities, the discrepancy between expert-assigned weights and empirical effects reveals a systematic gap between prescriptive strategic logic and revealed behavioral determinants.</w:t>
      </w:r>
    </w:p>
    <w:p>
      <w:pPr>
        <w:pStyle w:val="BodyText"/>
      </w:pPr>
      <w:r>
        <w:t xml:space="preserve">The four dimension-level indices have near-zero pairwise correlations (|r| = 0.019–0.209) and variance inflation factors of 1.006–1.062 when entered jointly in regression models, confirming empirical independence consistent with the SWOT framework’s conceptual structure.</w:t>
      </w:r>
    </w:p>
    <w:p>
      <w:pPr>
        <w:pStyle w:val="BlockText"/>
      </w:pPr>
      <w:r>
        <w:rPr>
          <w:bCs/>
          <w:b/>
        </w:rPr>
        <w:t xml:space="preserve">[INSERT Figure 1: AHP Expert-Derived SWOT Dimension Weights (treemap)]</w:t>
      </w:r>
    </w:p>
    <w:p>
      <w:r>
        <w:pict>
          <v:rect style="width:0;height:1.5pt" o:hralign="center" o:hrstd="t" o:hr="t"/>
        </w:pict>
      </w:r>
    </w:p>
    <w:bookmarkEnd w:id="29"/>
    <w:bookmarkEnd w:id="30"/>
    <w:bookmarkStart w:id="39" w:name="data-and-measurement"/>
    <w:p>
      <w:pPr>
        <w:pStyle w:val="Heading2"/>
      </w:pPr>
      <w:r>
        <w:t xml:space="preserve">4. Data and Measurement</w:t>
      </w:r>
    </w:p>
    <w:bookmarkStart w:id="31" w:name="study-area-and-sampling"/>
    <w:p>
      <w:pPr>
        <w:pStyle w:val="Heading3"/>
      </w:pPr>
      <w:r>
        <w:t xml:space="preserve">4.1 Study Area and Sampling</w:t>
      </w:r>
    </w:p>
    <w:p>
      <w:pPr>
        <w:pStyle w:val="FirstParagraph"/>
      </w:pPr>
      <w:r>
        <w:t xml:space="preserve">The study was conducted in W Township, Wuchang City, Heilongjiang Province, in Northeast China. Three administrative villages were selected for data collection. A random sampling procedure was used to draw a target sample of 300 households; after excluding incomplete responses, the final usable sample comprised 293 valid questionnaires. Of these, 203 respondents (69.3%) reported active participation in livestream e-commerce at the time of the survey, and 90 (30.7%) were non-participants.</w:t>
      </w:r>
    </w:p>
    <w:p>
      <w:pPr>
        <w:pStyle w:val="BodyText"/>
      </w:pPr>
      <w:r>
        <w:t xml:space="preserve">The relatively high participation rate compared with national averages reflects the regional context of the study area. Wuchang City is nationally recognized for its geographically protected rice brand (Wuchang rice, 五常大米), which has been actively promoted through digital and e-commerce channels by major platforms. W Township has experienced early and sustained engagement with agricultural e-commerce, making it a substantively relevant site for studying both the drivers of participation and the performance implications of that participation.</w:t>
      </w:r>
    </w:p>
    <w:bookmarkEnd w:id="31"/>
    <w:bookmarkStart w:id="36" w:name="swot-ahp-index-construction"/>
    <w:p>
      <w:pPr>
        <w:pStyle w:val="Heading3"/>
      </w:pPr>
      <w:r>
        <w:t xml:space="preserve">4.2 SWOT-AHP Index Construction</w:t>
      </w:r>
    </w:p>
    <w:bookmarkStart w:id="32" w:name="instrument-design"/>
    <w:p>
      <w:pPr>
        <w:pStyle w:val="Heading4"/>
      </w:pPr>
      <w:r>
        <w:t xml:space="preserve">4.2.1 Instrument Design</w:t>
      </w:r>
    </w:p>
    <w:p>
      <w:pPr>
        <w:pStyle w:val="FirstParagraph"/>
      </w:pPr>
      <w:r>
        <w:t xml:space="preserve">A 16-item SWOT questionnaire was developed, with four items for each of the four dimensions. All items were rated on a five-point Likert scale (1 = strongly disagree to 5 = strongly agree). The items are as follows:</w:t>
      </w:r>
    </w:p>
    <w:p>
      <w:pPr>
        <w:pStyle w:val="BodyText"/>
      </w:pPr>
      <w:r>
        <w:rPr>
          <w:bCs/>
          <w:b/>
        </w:rPr>
        <w:t xml:space="preserve">Strengths (S)</w:t>
      </w:r>
      <w:r>
        <w:t xml:space="preserve">: Product quality (Prod_Quality), technical capability level (Tech_Level), communication and marketing skills (Comm_Skill), price competitiveness (Price_Comp).</w:t>
      </w:r>
    </w:p>
    <w:p>
      <w:pPr>
        <w:pStyle w:val="BodyText"/>
      </w:pPr>
      <w:r>
        <w:rPr>
          <w:bCs/>
          <w:b/>
        </w:rPr>
        <w:t xml:space="preserve">Weaknesses (W)</w:t>
      </w:r>
      <w:r>
        <w:t xml:space="preserve">: Business scale (Biz_Scale), financial resources (Financial), livestream experience (Live_Exp), equipment accessibility (Device_Diff).</w:t>
      </w:r>
    </w:p>
    <w:p>
      <w:pPr>
        <w:pStyle w:val="BodyText"/>
      </w:pPr>
      <w:r>
        <w:rPr>
          <w:bCs/>
          <w:b/>
        </w:rPr>
        <w:t xml:space="preserve">Opportunities (O)</w:t>
      </w:r>
      <w:r>
        <w:t xml:space="preserve">: Market demand (Mkt_Demand), government support (Gov_Support), platform support (Platform_Sup), network infrastructure (Net_Infra).</w:t>
      </w:r>
    </w:p>
    <w:p>
      <w:pPr>
        <w:pStyle w:val="BodyText"/>
      </w:pPr>
      <w:r>
        <w:rPr>
          <w:bCs/>
          <w:b/>
        </w:rPr>
        <w:t xml:space="preserve">Threats (T)</w:t>
      </w:r>
      <w:r>
        <w:t xml:space="preserve">: Consumer awareness (Cons_Aware), competitive rivalry (Comp_Rivalry), consumer trust (Cons_Trust), logistics constraints (Logistics).</w:t>
      </w:r>
    </w:p>
    <w:bookmarkEnd w:id="32"/>
    <w:bookmarkStart w:id="33" w:name="ahp-expert-weighting"/>
    <w:p>
      <w:pPr>
        <w:pStyle w:val="Heading4"/>
      </w:pPr>
      <w:r>
        <w:t xml:space="preserve">4.2.2 AHP Expert Weighting</w:t>
      </w:r>
    </w:p>
    <w:p>
      <w:pPr>
        <w:pStyle w:val="FirstParagraph"/>
      </w:pPr>
      <w:r>
        <w:t xml:space="preserve">A panel of three domain experts was consulted to assign weights to the four SWOT dimensions through the Analytic Hierarchy Process (Saaty, 1980). Pairwise comparison matrices were constructed at the dimension level, and consistency ratios were verified to fall within acceptable bounds (CR &lt; 0.10). The resulting dimension-level weights are: S = 0.391, W = 0.252, O = 0.182, T = 0.174.</w:t>
      </w:r>
    </w:p>
    <w:p>
      <w:pPr>
        <w:pStyle w:val="BodyText"/>
      </w:pPr>
      <w:r>
        <w:t xml:space="preserve">The AHP weight structure reveals that expert judgment substantially favors internal dimensions (combined weight 0.643) over external dimensions (combined weight 0.357). This weighting pattern—which reflects normative expert assessment of strategic importance—is retained in all index calculations to preserve the theory-grounded structure of the SWOT framework.</w:t>
      </w:r>
    </w:p>
    <w:bookmarkEnd w:id="33"/>
    <w:bookmarkStart w:id="34" w:name="X1b575df9c94307728ac052211185749476802e4"/>
    <w:p>
      <w:pPr>
        <w:pStyle w:val="Heading4"/>
      </w:pPr>
      <w:r>
        <w:t xml:space="preserve">4.2.3 Index Construction and Strategic Classification</w:t>
      </w:r>
    </w:p>
    <w:p>
      <w:pPr>
        <w:pStyle w:val="FirstParagraph"/>
      </w:pPr>
      <w:r>
        <w:t xml:space="preserve">Four dimension-level indices were constructed by computing AHP-weighted mean scores for each dimension. Two balance indices were then derived:</w:t>
      </w:r>
    </w:p>
    <w:p>
      <w:pPr>
        <w:numPr>
          <w:ilvl w:val="0"/>
          <w:numId w:val="1002"/>
        </w:numPr>
        <w:pStyle w:val="Compact"/>
      </w:pPr>
      <w:r>
        <w:rPr>
          <w:bCs/>
          <w:b/>
        </w:rPr>
        <w:t xml:space="preserve">Internal_diff</w:t>
      </w:r>
      <w:r>
        <w:t xml:space="preserve"> </w:t>
      </w:r>
      <w:r>
        <w:t xml:space="preserve">= S_index − W_index (net internal strategic position; positive = strength-dominant)</w:t>
      </w:r>
    </w:p>
    <w:p>
      <w:pPr>
        <w:numPr>
          <w:ilvl w:val="0"/>
          <w:numId w:val="1002"/>
        </w:numPr>
        <w:pStyle w:val="Compact"/>
      </w:pPr>
      <w:r>
        <w:rPr>
          <w:bCs/>
          <w:b/>
        </w:rPr>
        <w:t xml:space="preserve">External_diff</w:t>
      </w:r>
      <w:r>
        <w:t xml:space="preserve"> </w:t>
      </w:r>
      <w:r>
        <w:t xml:space="preserve">= O_index − T_index (net external strategic condition; positive = opportunity-dominant)</w:t>
      </w:r>
    </w:p>
    <w:p>
      <w:pPr>
        <w:pStyle w:val="FirstParagraph"/>
      </w:pPr>
      <w:r>
        <w:t xml:space="preserve">Farmers were classified into four strategic types based on the sign of these two indices:</w:t>
      </w:r>
      <w:r>
        <w:t xml:space="preserve"> </w:t>
      </w:r>
      <w:r>
        <w:t xml:space="preserve">-</w:t>
      </w:r>
      <w:r>
        <w:t xml:space="preserve"> </w:t>
      </w:r>
      <w:r>
        <w:rPr>
          <w:bCs/>
          <w:b/>
        </w:rPr>
        <w:t xml:space="preserve">SO type</w:t>
      </w:r>
      <w:r>
        <w:t xml:space="preserve">: Internal_diff &gt; 0 and External_diff &gt; 0 (strength–opportunity dominant)</w:t>
      </w:r>
      <w:r>
        <w:t xml:space="preserve"> </w:t>
      </w:r>
      <w:r>
        <w:t xml:space="preserve">-</w:t>
      </w:r>
      <w:r>
        <w:t xml:space="preserve"> </w:t>
      </w:r>
      <w:r>
        <w:rPr>
          <w:bCs/>
          <w:b/>
        </w:rPr>
        <w:t xml:space="preserve">WO type</w:t>
      </w:r>
      <w:r>
        <w:t xml:space="preserve">: Internal_diff ≤ 0 and External_diff &gt; 0 (weakness–opportunity)</w:t>
      </w:r>
      <w:r>
        <w:t xml:space="preserve"> </w:t>
      </w:r>
      <w:r>
        <w:t xml:space="preserve">-</w:t>
      </w:r>
      <w:r>
        <w:t xml:space="preserve"> </w:t>
      </w:r>
      <w:r>
        <w:rPr>
          <w:bCs/>
          <w:b/>
        </w:rPr>
        <w:t xml:space="preserve">ST type</w:t>
      </w:r>
      <w:r>
        <w:t xml:space="preserve">: Internal_diff &gt; 0 and External_diff ≤ 0 (strength–threat)</w:t>
      </w:r>
      <w:r>
        <w:t xml:space="preserve"> </w:t>
      </w:r>
      <w:r>
        <w:t xml:space="preserve">-</w:t>
      </w:r>
      <w:r>
        <w:t xml:space="preserve"> </w:t>
      </w:r>
      <w:r>
        <w:rPr>
          <w:bCs/>
          <w:b/>
        </w:rPr>
        <w:t xml:space="preserve">WT type</w:t>
      </w:r>
      <w:r>
        <w:t xml:space="preserve">: Internal_diff ≤ 0 and External_diff ≤ 0 (weakness–threat)</w:t>
      </w:r>
    </w:p>
    <w:p>
      <w:pPr>
        <w:pStyle w:val="BodyText"/>
      </w:pPr>
      <w:r>
        <w:t xml:space="preserve">Figure 2 displays the distribution of all 293 farmers in the Internal_diff × External_diff space, with color indicating participation status and marker shape indicating strategic type. The spatial separation between participants (blue) and non-participants (red) is visually apparent across quadrants, with participants concentrated in the SO and WO quadrants (positive External_diff) regardless of internal position.</w:t>
      </w:r>
    </w:p>
    <w:p>
      <w:pPr>
        <w:pStyle w:val="BlockText"/>
      </w:pPr>
      <w:r>
        <w:rPr>
          <w:bCs/>
          <w:b/>
        </w:rPr>
        <w:t xml:space="preserve">[INSERT Figure 2: SWOT Strategic Position Scatter Plot — full sample, N=293]</w:t>
      </w:r>
    </w:p>
    <w:bookmarkEnd w:id="34"/>
    <w:bookmarkStart w:id="35" w:name="measurement-independence-validation"/>
    <w:p>
      <w:pPr>
        <w:pStyle w:val="Heading4"/>
      </w:pPr>
      <w:r>
        <w:t xml:space="preserve">4.2.4 Measurement Independence Validation</w:t>
      </w:r>
    </w:p>
    <w:p>
      <w:pPr>
        <w:pStyle w:val="FirstParagraph"/>
      </w:pPr>
      <w:r>
        <w:t xml:space="preserve">The four dimension indices exhibit near-zero pairwise correlations (|r| ranging from 0.019 to 0.209), and all variance inflation factors remain at or below 1.062 when the four indices are entered jointly in regression models. A Harman single-factor test yields a first-factor eigenvalue explaining 11.95% of total variance, indicating that common method bias is unlikely to account for the observed relationships.</w:t>
      </w:r>
    </w:p>
    <w:bookmarkEnd w:id="35"/>
    <w:bookmarkEnd w:id="36"/>
    <w:bookmarkStart w:id="37" w:name="dependent-variables"/>
    <w:p>
      <w:pPr>
        <w:pStyle w:val="Heading3"/>
      </w:pPr>
      <w:r>
        <w:t xml:space="preserve">4.3 Dependent Variables</w:t>
      </w:r>
    </w:p>
    <w:p>
      <w:pPr>
        <w:pStyle w:val="FirstParagraph"/>
      </w:pPr>
      <w:r>
        <w:rPr>
          <w:bCs/>
          <w:b/>
        </w:rPr>
        <w:t xml:space="preserve">Participation</w:t>
      </w:r>
      <w:r>
        <w:t xml:space="preserve"> </w:t>
      </w:r>
      <w:r>
        <w:t xml:space="preserve">(</w:t>
      </w:r>
      <w:r>
        <w:rPr>
          <w:iCs/>
          <w:i/>
        </w:rPr>
        <w:t xml:space="preserve">livestream_flag</w:t>
      </w:r>
      <w:r>
        <w:t xml:space="preserve">): A binary variable equal to 1 if the farmer reported active participation in livestream e-commerce sales at the time of the survey, and 0 otherwise (N = 293).</w:t>
      </w:r>
    </w:p>
    <w:p>
      <w:pPr>
        <w:pStyle w:val="BodyText"/>
      </w:pPr>
      <w:r>
        <w:rPr>
          <w:bCs/>
          <w:b/>
        </w:rPr>
        <w:t xml:space="preserve">Income performance</w:t>
      </w:r>
      <w:r>
        <w:t xml:space="preserve"> </w:t>
      </w:r>
      <w:r>
        <w:t xml:space="preserve">(</w:t>
      </w:r>
      <w:r>
        <w:rPr>
          <w:iCs/>
          <w:i/>
        </w:rPr>
        <w:t xml:space="preserve">income_level</w:t>
      </w:r>
      <w:r>
        <w:t xml:space="preserve">): An ordered categorical variable measuring household income level attributable to agricultural sales, coded on an ascending scale. Measured only among the participant subsample (n = 203).</w:t>
      </w:r>
    </w:p>
    <w:p>
      <w:pPr>
        <w:pStyle w:val="BodyText"/>
      </w:pPr>
      <w:r>
        <w:rPr>
          <w:bCs/>
          <w:b/>
        </w:rPr>
        <w:t xml:space="preserve">Livestream sales share</w:t>
      </w:r>
      <w:r>
        <w:t xml:space="preserve"> </w:t>
      </w:r>
      <w:r>
        <w:t xml:space="preserve">(</w:t>
      </w:r>
      <w:r>
        <w:rPr>
          <w:iCs/>
          <w:i/>
        </w:rPr>
        <w:t xml:space="preserve">live_share</w:t>
      </w:r>
      <w:r>
        <w:t xml:space="preserve">): An ordered categorical variable measuring the proportion of total agricultural sales revenue derived from the livestream channel, coded on an ascending scale. Measured only among the participant subsample (n = 203).</w:t>
      </w:r>
    </w:p>
    <w:bookmarkEnd w:id="37"/>
    <w:bookmarkStart w:id="38" w:name="control-variables"/>
    <w:p>
      <w:pPr>
        <w:pStyle w:val="Heading3"/>
      </w:pPr>
      <w:r>
        <w:t xml:space="preserve">4.4 Control Variables</w:t>
      </w:r>
    </w:p>
    <w:p>
      <w:pPr>
        <w:pStyle w:val="FirstParagraph"/>
      </w:pPr>
      <w:r>
        <w:t xml:space="preserve">Control variables included in all models are: gender (binary), age (continuous), education level (ordered categorical), and household labor force size (continuous count). These variables capture basic socioeconomic heterogeneity across farmers that may independently predict both participation decisions and performance outcomes.</w:t>
      </w:r>
    </w:p>
    <w:p>
      <w:r>
        <w:pict>
          <v:rect style="width:0;height:1.5pt" o:hralign="center" o:hrstd="t" o:hr="t"/>
        </w:pict>
      </w:r>
    </w:p>
    <w:bookmarkEnd w:id="38"/>
    <w:bookmarkEnd w:id="39"/>
    <w:bookmarkStart w:id="43" w:name="empirical-strategy"/>
    <w:p>
      <w:pPr>
        <w:pStyle w:val="Heading2"/>
      </w:pPr>
      <w:r>
        <w:t xml:space="preserve">5. Empirical Strategy</w:t>
      </w:r>
    </w:p>
    <w:bookmarkStart w:id="40" w:name="participation-model"/>
    <w:p>
      <w:pPr>
        <w:pStyle w:val="Heading3"/>
      </w:pPr>
      <w:r>
        <w:t xml:space="preserve">5.1 Participation Model</w:t>
      </w:r>
    </w:p>
    <w:p>
      <w:pPr>
        <w:pStyle w:val="FirstParagraph"/>
      </w:pPr>
      <w:r>
        <w:t xml:space="preserve">To assess the determinants of livestream e-commerce participation, we estimate three binary logistic regression models on the full sample (N = 293):</w:t>
      </w:r>
    </w:p>
    <w:p>
      <w:pPr>
        <w:pStyle w:val="BodyText"/>
      </w:pPr>
      <w:r>
        <w:rPr>
          <w:bCs/>
          <w:b/>
        </w:rPr>
        <w:t xml:space="preserve">Model A</w:t>
      </w:r>
      <w:r>
        <w:t xml:space="preserve"> </w:t>
      </w:r>
      <w:r>
        <w:t xml:space="preserve">includes the four SWOT dimension indices (S_index, W_index, O_index, T_index) together with control variables. This model allows each dimension to enter with its own coefficient, testing whether each SWOT component independently predicts participation.</w:t>
      </w:r>
    </w:p>
    <w:p>
      <w:pPr>
        <w:pStyle w:val="BodyText"/>
      </w:pPr>
      <w:r>
        <w:rPr>
          <w:bCs/>
          <w:b/>
        </w:rPr>
        <w:t xml:space="preserve">Model B</w:t>
      </w:r>
      <w:r>
        <w:t xml:space="preserve"> </w:t>
      </w:r>
      <w:r>
        <w:t xml:space="preserve">replaces the four dimension indices with the two balance indices (Internal_diff and External_diff), directly testing the relative predictive weight of net internal strategic position versus net external strategic conditions. This is the primary specification for testing H1.</w:t>
      </w:r>
    </w:p>
    <w:p>
      <w:pPr>
        <w:pStyle w:val="BodyText"/>
      </w:pPr>
      <w:r>
        <w:rPr>
          <w:bCs/>
          <w:b/>
        </w:rPr>
        <w:t xml:space="preserve">Model C</w:t>
      </w:r>
      <w:r>
        <w:t xml:space="preserve"> </w:t>
      </w:r>
      <w:r>
        <w:t xml:space="preserve">uses strategic type dummy variables (SO, WO, ST, with WT as the reference category) to examine whether strategic-type membership predicts participation, and whether the type contrasts are consistent with the hypothesized two-dimensional logic.</w:t>
      </w:r>
    </w:p>
    <w:p>
      <w:pPr>
        <w:pStyle w:val="BodyText"/>
      </w:pPr>
      <w:r>
        <w:t xml:space="preserve">Average marginal effects and predicted participation probabilities are computed for all models to facilitate substantive interpretation.</w:t>
      </w:r>
    </w:p>
    <w:bookmarkEnd w:id="40"/>
    <w:bookmarkStart w:id="41" w:name="performance-model"/>
    <w:p>
      <w:pPr>
        <w:pStyle w:val="Heading3"/>
      </w:pPr>
      <w:r>
        <w:t xml:space="preserve">5.2 Performance Model</w:t>
      </w:r>
    </w:p>
    <w:p>
      <w:pPr>
        <w:pStyle w:val="FirstParagraph"/>
      </w:pPr>
      <w:r>
        <w:t xml:space="preserve">To assess the determinants of performance among participating farmers, we estimate ordered logistic regression models on the participant subsample (n = 203) for each of the two performance outcomes (income_level and live_share). The primary specification (corresponding to Model B structure) includes Internal_diff, External_diff, and control variables.</w:t>
      </w:r>
    </w:p>
    <w:p>
      <w:pPr>
        <w:pStyle w:val="BodyText"/>
      </w:pPr>
      <w:r>
        <w:t xml:space="preserve">A</w:t>
      </w:r>
      <w:r>
        <w:t xml:space="preserve"> </w:t>
      </w:r>
      <w:r>
        <w:rPr>
          <w:iCs/>
          <w:i/>
        </w:rPr>
        <w:t xml:space="preserve">clean index</w:t>
      </w:r>
      <w:r>
        <w:t xml:space="preserve"> </w:t>
      </w:r>
      <w:r>
        <w:t xml:space="preserve">robustness specification additionally excludes Biz_Scale and Financial from the construction of Internal_diff (yielding Internal_diff_clean) to address potential construct overlap between these items and the income outcome variable. This specification tests whether the Internal_diff effect is robust to the removal of the items most closely related to income.</w:t>
      </w:r>
    </w:p>
    <w:bookmarkEnd w:id="41"/>
    <w:bookmarkStart w:id="42" w:name="robustness-checks"/>
    <w:p>
      <w:pPr>
        <w:pStyle w:val="Heading3"/>
      </w:pPr>
      <w:r>
        <w:t xml:space="preserve">5.3 Robustness Checks</w:t>
      </w:r>
    </w:p>
    <w:p>
      <w:pPr>
        <w:pStyle w:val="FirstParagraph"/>
      </w:pPr>
      <w:r>
        <w:t xml:space="preserve">We conduct five robustness checks:</w:t>
      </w:r>
    </w:p>
    <w:p>
      <w:pPr>
        <w:numPr>
          <w:ilvl w:val="0"/>
          <w:numId w:val="1003"/>
        </w:numPr>
      </w:pPr>
      <w:r>
        <w:rPr>
          <w:bCs/>
          <w:b/>
        </w:rPr>
        <w:t xml:space="preserve">Probit and ordered probit substitution</w:t>
      </w:r>
      <w:r>
        <w:t xml:space="preserve">: Binary probit (participation) and ordered probit (performance) models replace logistic models, testing distributional assumption sensitivity.</w:t>
      </w:r>
    </w:p>
    <w:p>
      <w:pPr>
        <w:numPr>
          <w:ilvl w:val="0"/>
          <w:numId w:val="1003"/>
        </w:numPr>
      </w:pPr>
      <w:r>
        <w:rPr>
          <w:bCs/>
          <w:b/>
        </w:rPr>
        <w:t xml:space="preserve">Equal-weight indices</w:t>
      </w:r>
      <w:r>
        <w:t xml:space="preserve">: AHP dimension weights are replaced with equal weights (each dimension weighted 0.25), testing whether results are driven by the specific AHP weight structure.</w:t>
      </w:r>
    </w:p>
    <w:p>
      <w:pPr>
        <w:numPr>
          <w:ilvl w:val="0"/>
          <w:numId w:val="1003"/>
        </w:numPr>
      </w:pPr>
      <w:r>
        <w:rPr>
          <w:bCs/>
          <w:b/>
        </w:rPr>
        <w:t xml:space="preserve">Clean index</w:t>
      </w:r>
      <w:r>
        <w:t xml:space="preserve">: As described above, Internal_diff_clean removes Biz_Scale and Financial from the S–W balance computation.</w:t>
      </w:r>
    </w:p>
    <w:p>
      <w:pPr>
        <w:numPr>
          <w:ilvl w:val="0"/>
          <w:numId w:val="1003"/>
        </w:numPr>
      </w:pPr>
      <w:r>
        <w:rPr>
          <w:bCs/>
          <w:b/>
        </w:rPr>
        <w:t xml:space="preserve">Exclusion of ST group</w:t>
      </w:r>
      <w:r>
        <w:t xml:space="preserve">: Models are re-estimated excluding the ST strategic type, testing whether the relatively small ST group (n = 33) disproportionately influences results.</w:t>
      </w:r>
    </w:p>
    <w:p>
      <w:pPr>
        <w:numPr>
          <w:ilvl w:val="0"/>
          <w:numId w:val="1003"/>
        </w:numPr>
      </w:pPr>
      <w:r>
        <w:rPr>
          <w:bCs/>
          <w:b/>
        </w:rPr>
        <w:t xml:space="preserve">Control function approach</w:t>
      </w:r>
      <w:r>
        <w:t xml:space="preserve">: To assess potential sample selection bias in the performance model (arising from the non-random participation decision), we employ a control function approach (Rivers &amp; Vuong, 1988). In the first stage, a probit model is estimated on the full sample to predict participation, from which the inverse Mills ratio (IMR) is derived. In the second stage, the IMR is included as an additional covariate in the ordered logistic performance models, estimated on the participant subsample with bootstrap standard errors (200 replications). Three alternative exclusion restrictions are tested: External_diff, O_index, and T_threat_index—all three of which are significant predictors of participation but theoretically unrelated to post-participation performance, providing the identification condition.</w:t>
      </w:r>
    </w:p>
    <w:p>
      <w:r>
        <w:pict>
          <v:rect style="width:0;height:1.5pt" o:hralign="center" o:hrstd="t" o:hr="t"/>
        </w:pict>
      </w:r>
    </w:p>
    <w:bookmarkEnd w:id="42"/>
    <w:bookmarkEnd w:id="43"/>
    <w:bookmarkStart w:id="48" w:name="results"/>
    <w:p>
      <w:pPr>
        <w:pStyle w:val="Heading2"/>
      </w:pPr>
      <w:r>
        <w:t xml:space="preserve">6. Results</w:t>
      </w:r>
    </w:p>
    <w:bookmarkStart w:id="44" w:name="X8e50115ec7c9f74289fa036f0d0d8bf3df9ea1c"/>
    <w:p>
      <w:pPr>
        <w:pStyle w:val="Heading3"/>
      </w:pPr>
      <w:r>
        <w:t xml:space="preserve">6.1 Descriptive Statistics and Strategic Type Distribution</w:t>
      </w:r>
    </w:p>
    <w:p>
      <w:pPr>
        <w:pStyle w:val="FirstParagraph"/>
      </w:pPr>
      <w:r>
        <w:t xml:space="preserve">Table 1 presents descriptive statistics for the full sample. Among the 293 respondents, 203 (69.3%) are participants and 90 (30.7%) are non-participants. Participants and non-participants show broadly similar distributions on individual characteristics, though participants tend to have marginally higher education and labor force endowments.</w:t>
      </w:r>
    </w:p>
    <w:p>
      <w:pPr>
        <w:pStyle w:val="BlockText"/>
      </w:pPr>
      <w:r>
        <w:rPr>
          <w:bCs/>
          <w:b/>
        </w:rPr>
        <w:t xml:space="preserve">[INSERT Table 1: Descriptive Statistics — full sample, participants vs. non-participants]</w:t>
      </w:r>
    </w:p>
    <w:p>
      <w:pPr>
        <w:pStyle w:val="FirstParagraph"/>
      </w:pPr>
      <w:r>
        <w:t xml:space="preserve">Table 2 reports the distribution of farmers across strategic types and participation rates by type. The WO type is the most prevalent (n = 128, 43.7%), followed by SO (n = 94, 32.1%), WT (n = 38, 13.0%), and ST (n = 33, 11.3%). Participation rates differ dramatically across types: SO farmers participate at the highest rate (93.1%), followed by WO (77.8%), ST (47.4%), and WT (31.4%).</w:t>
      </w:r>
    </w:p>
    <w:p>
      <w:pPr>
        <w:pStyle w:val="BlockText"/>
      </w:pPr>
      <w:r>
        <w:rPr>
          <w:bCs/>
          <w:b/>
        </w:rPr>
        <w:t xml:space="preserve">[INSERT Table 2: Strategic Type Distribution and Participation Rates]</w:t>
      </w:r>
    </w:p>
    <w:p>
      <w:pPr>
        <w:pStyle w:val="FirstParagraph"/>
      </w:pPr>
      <w:r>
        <w:t xml:space="preserve">These descriptive patterns are consistent with the two-dimensional hypothesis: both opportunity availability (separating WO/SO from ST/WT) and internal capability dominance (separating SO from WO, and ST from WT) are associated with higher participation rates. However, whether these associations remain after controlling for individual characteristics, and which dimension drives participation more strongly, requires multivariate analysis.</w:t>
      </w:r>
    </w:p>
    <w:bookmarkEnd w:id="44"/>
    <w:bookmarkStart w:id="45" w:name="participation-model-results"/>
    <w:p>
      <w:pPr>
        <w:pStyle w:val="Heading3"/>
      </w:pPr>
      <w:r>
        <w:t xml:space="preserve">6.2 Participation Model Results</w:t>
      </w:r>
    </w:p>
    <w:p>
      <w:pPr>
        <w:pStyle w:val="FirstParagraph"/>
      </w:pPr>
      <w:r>
        <w:t xml:space="preserve">Table 3 presents results for Models A, B, and C.</w:t>
      </w:r>
    </w:p>
    <w:p>
      <w:pPr>
        <w:pStyle w:val="BlockText"/>
      </w:pPr>
      <w:r>
        <w:rPr>
          <w:bCs/>
          <w:b/>
        </w:rPr>
        <w:t xml:space="preserve">[INSERT Table 3: Binary Logistic Regression — Participation Models A, B, C]</w:t>
      </w:r>
    </w:p>
    <w:p>
      <w:pPr>
        <w:pStyle w:val="FirstParagraph"/>
      </w:pPr>
      <w:r>
        <w:rPr>
          <w:bCs/>
          <w:b/>
        </w:rPr>
        <w:t xml:space="preserve">Model A</w:t>
      </w:r>
      <w:r>
        <w:t xml:space="preserve"> </w:t>
      </w:r>
      <w:r>
        <w:t xml:space="preserve">reveals that two external SWOT components are the strongest predictors of participation. The opportunity index (O_index) is positively and significantly associated with participation (β = 2.749, p &lt; 0.001), and the threat index (T_index) is negatively and significantly associated with participation (β = −1.349, p &lt; 0.001). The weakness index (W_index) is negatively associated with participation (β = −0.779, p &lt; 0.05), consistent with resource-constraint barriers. Critically, the strength index (S_index) is not statistically significant (β = 0.618, p &gt; 0.10). This finding—that internal strengths do not independently predict participation after controlling for other SWOT dimensions—is a central empirical result. It implies that internal capability advantages are not, by themselves, sufficient to drive participation; external conditions act as the decisive trigger.</w:t>
      </w:r>
    </w:p>
    <w:p>
      <w:pPr>
        <w:pStyle w:val="BodyText"/>
      </w:pPr>
      <w:r>
        <w:rPr>
          <w:bCs/>
          <w:b/>
        </w:rPr>
        <w:t xml:space="preserve">Model B</w:t>
      </w:r>
      <w:r>
        <w:t xml:space="preserve"> </w:t>
      </w:r>
      <w:r>
        <w:t xml:space="preserve">confirms the external dominance at the balance-index level. External_diff carries a substantially larger coefficient (β = 1.868, p &lt; 0.001) than Internal_diff (β = 0.655, p &lt; 0.01), providing direct support for H1. A unit increase in net external strategic position more than doubles the increase in log-odds of participation relative to a unit increase in net internal advantage.</w:t>
      </w:r>
    </w:p>
    <w:p>
      <w:pPr>
        <w:pStyle w:val="BodyText"/>
      </w:pPr>
      <w:r>
        <w:rPr>
          <w:bCs/>
          <w:b/>
        </w:rPr>
        <w:t xml:space="preserve">Model C</w:t>
      </w:r>
      <w:r>
        <w:t xml:space="preserve"> </w:t>
      </w:r>
      <w:r>
        <w:t xml:space="preserve">reveals that both SO (β = 3.377, p &lt; 0.001) and WO (β = 2.037, p &lt; 0.001) farmers are significantly more likely to participate than WT farmers, even controlling for individual characteristics. Predicted participation probabilities reflect this pattern: SO = 93.1%, WO = 77.8%, WT = 31.4%. By contrast, the ST coefficient is not statistically significant (β = 0.677, p &gt; 0.10), and the predicted probability for ST farmers (47.4%) does not differ significantly from WT farmers (31.4%). This finding indicates that internal capability advantages alone—in the absence of favorable external conditions—do not meaningfully elevate participation likelihood above the WT baseline.</w:t>
      </w:r>
    </w:p>
    <w:bookmarkEnd w:id="45"/>
    <w:bookmarkStart w:id="46" w:name="performance-model-results"/>
    <w:p>
      <w:pPr>
        <w:pStyle w:val="Heading3"/>
      </w:pPr>
      <w:r>
        <w:t xml:space="preserve">6.3 Performance Model Results</w:t>
      </w:r>
    </w:p>
    <w:p>
      <w:pPr>
        <w:pStyle w:val="FirstParagraph"/>
      </w:pPr>
      <w:r>
        <w:t xml:space="preserve">Table 4 presents ordered logistic regression results for the performance models (participants only, n = 203).</w:t>
      </w:r>
    </w:p>
    <w:p>
      <w:pPr>
        <w:pStyle w:val="BlockText"/>
      </w:pPr>
      <w:r>
        <w:rPr>
          <w:bCs/>
          <w:b/>
        </w:rPr>
        <w:t xml:space="preserve">[INSERT Table 4: Ordered Logistic Regression — Performance Models (income and live_share)]</w:t>
      </w:r>
    </w:p>
    <w:p>
      <w:pPr>
        <w:pStyle w:val="FirstParagraph"/>
      </w:pPr>
      <w:r>
        <w:t xml:space="preserve">The results reveal a sharp reversal from the participation stage. Internal_diff is a significant positive predictor of both income performance (β = 2.015, p &lt; 0.001) and livestream sales share (β = 0.951, p &lt; 0.001). By contrast, External_diff is not statistically significant for either outcome, confirming H4. Among control variables, household labor force size (Labor) is a significant positive predictor of income (β = 1.121, p &lt; 0.001), consistent with the view that labor endowment is a material component of internal operational capacity.</w:t>
      </w:r>
    </w:p>
    <w:p>
      <w:pPr>
        <w:pStyle w:val="BodyText"/>
      </w:pPr>
      <w:r>
        <w:t xml:space="preserve">The clean index specification (Internal_diff_clean, excluding Biz_Scale and Financial) yields attenuated but still highly significant coefficients: income (β = 0.872, p &lt; 0.001) and live_share (β = 0.700, p &lt; 0.01). This confirms that the Internal_diff effect is not an artifact of construct overlap between Biz_Scale/Financial and the income outcome.</w:t>
      </w:r>
    </w:p>
    <w:bookmarkEnd w:id="46"/>
    <w:bookmarkStart w:id="47" w:name="robustness-results"/>
    <w:p>
      <w:pPr>
        <w:pStyle w:val="Heading3"/>
      </w:pPr>
      <w:r>
        <w:t xml:space="preserve">6.4 Robustness Results</w:t>
      </w:r>
    </w:p>
    <w:p>
      <w:pPr>
        <w:pStyle w:val="FirstParagraph"/>
      </w:pPr>
      <w:r>
        <w:t xml:space="preserve">Probit and ordered probit specifications produce consistent estimates in direction and significance across all participation and performance models. Equal-weight index models yield qualitatively identical conclusions: External_diff dominates participation prediction, Internal_diff dominates performance prediction. Exclusion of the ST group does not materially alter the WO/SO/WT contrasts.</w:t>
      </w:r>
    </w:p>
    <w:p>
      <w:pPr>
        <w:pStyle w:val="BodyText"/>
      </w:pPr>
      <w:r>
        <w:t xml:space="preserve">For the control function approach, the IMR is not statistically significant in any of the three exclusion variable specifications (all p &gt; 0.50, bootstrap SE, 200 replications), indicating the absence of systematic sample selection bias. The ordered logistic performance model estimates are therefore unbiased without correction, further validating the robustness of the two-stage separation finding.</w:t>
      </w:r>
    </w:p>
    <w:p>
      <w:r>
        <w:pict>
          <v:rect style="width:0;height:1.5pt" o:hralign="center" o:hrstd="t" o:hr="t"/>
        </w:pict>
      </w:r>
    </w:p>
    <w:bookmarkEnd w:id="47"/>
    <w:bookmarkEnd w:id="48"/>
    <w:bookmarkStart w:id="52" w:name="discussion"/>
    <w:p>
      <w:pPr>
        <w:pStyle w:val="Heading2"/>
      </w:pPr>
      <w:r>
        <w:t xml:space="preserve">7. Discussion</w:t>
      </w:r>
    </w:p>
    <w:bookmarkStart w:id="49" w:name="X4b1a2975f0867f4bfb751f45d2fd622269595f7"/>
    <w:p>
      <w:pPr>
        <w:pStyle w:val="Heading3"/>
      </w:pPr>
      <w:r>
        <w:t xml:space="preserve">7.1 External Conditions as the Participation Threshold</w:t>
      </w:r>
    </w:p>
    <w:p>
      <w:pPr>
        <w:pStyle w:val="FirstParagraph"/>
      </w:pPr>
      <w:r>
        <w:t xml:space="preserve">The finding that external strategic conditions dominate the participation decision—while internal strengths are not statistically significant—advances the adoption literature in two ways. First, it extends TAM/TPB-based insights by providing a systematic quantitative decomposition of internal versus external influences on a revealed (rather than intended) participation outcome. While TAM studies have documented that government and platform support shape adoption intentions (Chen et al., 2024), our results show that the net external strategic balance—the combined effect of opportunity and threat—predicts actual participation more powerfully than the net internal capability balance.</w:t>
      </w:r>
    </w:p>
    <w:p>
      <w:pPr>
        <w:pStyle w:val="BodyText"/>
      </w:pPr>
      <w:r>
        <w:t xml:space="preserve">Second, the symmetric effects of O (positive) and T (negative) reveal that the external environment operates from both directions: favorable conditions pull farmers into participation, while unfavorable conditions—competitive rivalry, consumer trust deficits, logistical barriers—actively deter it. Barrier factor research (Nguyen et al., 2022) has documented the deterrence side of this relationship; our design allows both forces to be quantified and compared within a single framework.</w:t>
      </w:r>
    </w:p>
    <w:p>
      <w:pPr>
        <w:pStyle w:val="BodyText"/>
      </w:pPr>
      <w:r>
        <w:t xml:space="preserve">The non-significance of S_index at the participation stage deserves specific attention. ST farmers—those with net internal capability advantages but unfavorable external conditions—show a predicted participation probability (47.4%) that is statistically indistinguishable from WT farmers (31.4%). This implies that internal capability, while arguably necessary for sustained participation, is not sufficient to induce entry when external conditions are hostile. The mechanism may involve a form of external attribution in decision-making: when environmental factors are perceived as beyond individual control, their variation dominates the adoption calculus (Abay et al., 2017). This interpretation is also consistent with field observations from the survey area, where farmers reported greater sensitivity to external market conditions than to internal capability assessments in their participation decisions.</w:t>
      </w:r>
    </w:p>
    <w:p>
      <w:pPr>
        <w:pStyle w:val="BodyText"/>
      </w:pPr>
      <w:r>
        <w:t xml:space="preserve">A notable tension emerges between the AHP expert weights (which heavily favor internal dimensions: 0.643 combined) and the empirical results (which reveal external dominance). This discrepancy is not a methodological inconsistency; it reflects a systematic gap between prescriptive strategic logic and revealed behavioral determinants. Experts assess what</w:t>
      </w:r>
      <w:r>
        <w:t xml:space="preserve"> </w:t>
      </w:r>
      <w:r>
        <w:rPr>
          <w:iCs/>
          <w:i/>
        </w:rPr>
        <w:t xml:space="preserve">should</w:t>
      </w:r>
      <w:r>
        <w:t xml:space="preserve"> </w:t>
      </w:r>
      <w:r>
        <w:t xml:space="preserve">matter for strategic success; farmers reveal what</w:t>
      </w:r>
      <w:r>
        <w:t xml:space="preserve"> </w:t>
      </w:r>
      <w:r>
        <w:rPr>
          <w:iCs/>
          <w:i/>
        </w:rPr>
        <w:t xml:space="preserve">actually</w:t>
      </w:r>
      <w:r>
        <w:t xml:space="preserve"> </w:t>
      </w:r>
      <w:r>
        <w:t xml:space="preserve">drives their participation decision. The gap suggests that in the current context, external institutional constraints—platform access, infrastructure quality, government support, competitive and trust conditions—impose binding constraints that internal capability cannot readily overcome, regardless of expert assessments of long-run strategic importance.</w:t>
      </w:r>
    </w:p>
    <w:bookmarkEnd w:id="49"/>
    <w:bookmarkStart w:id="50" w:name="Xa47355ffffa49390bb6eee42a42059c831767a9"/>
    <w:p>
      <w:pPr>
        <w:pStyle w:val="Heading3"/>
      </w:pPr>
      <w:r>
        <w:t xml:space="preserve">7.2 Internal Capability as the Performance Engine</w:t>
      </w:r>
    </w:p>
    <w:p>
      <w:pPr>
        <w:pStyle w:val="FirstParagraph"/>
      </w:pPr>
      <w:r>
        <w:t xml:space="preserve">The performance stage presents a complementary picture. Once farmers have crossed the participation threshold—implying at least minimally adequate external conditions—internal capability becomes the dominant performance predictor. The significant positive effect of Internal_diff on both income performance and livestream sales share confirms H3 and is consistent with the RBV proposition that resource heterogeneity within a market drives performance differentiation (Barney, 1991). Farmers with stronger net internal positions—higher production quality, better technical and communication skills, more favorable price positioning relative to their weaknesses—generate systematically better outcomes within the livestream channel.</w:t>
      </w:r>
    </w:p>
    <w:p>
      <w:pPr>
        <w:pStyle w:val="BodyText"/>
      </w:pPr>
      <w:r>
        <w:t xml:space="preserve">The significant effect of household labor force size (Labor) on income performance, with an effect magnitude comparable to Internal_diff, adds a concrete operational dimension to this picture. Labor force endowment represents not merely a production input but a component of internal operational capacity for livestream activities—managing live sessions, handling customer interactions, processing orders, and maintaining production while simultaneously managing the digital channel. This finding suggests that internal capability, as measured by SWOT-AHP indices, and labor endowment function as complementary rather than substitutable determinants of performance.</w:t>
      </w:r>
    </w:p>
    <w:p>
      <w:pPr>
        <w:pStyle w:val="BodyText"/>
      </w:pPr>
      <w:r>
        <w:t xml:space="preserve">The non-significance of External_diff at the performance stage is consistent with the two-stage logic. Conditional on participation, variation in external conditions is partially absorbed by the selection process: farmers who participated despite poor external conditions are likely outliers in motivation or capability, while the majority of participants share a broadly favorable external environment (consistent with the concentration of participants in the SO and WO quadrants, as shown in Figure 2).</w:t>
      </w:r>
    </w:p>
    <w:bookmarkEnd w:id="50"/>
    <w:bookmarkStart w:id="51" w:name="X40a019745bcd8d9fd7e36fcb2e079964ba070c9"/>
    <w:p>
      <w:pPr>
        <w:pStyle w:val="Heading3"/>
      </w:pPr>
      <w:r>
        <w:t xml:space="preserve">7.3 AHP Weight–Empirical Result Tension: A Diagnostic Signal</w:t>
      </w:r>
    </w:p>
    <w:p>
      <w:pPr>
        <w:pStyle w:val="FirstParagraph"/>
      </w:pPr>
      <w:r>
        <w:t xml:space="preserve">The divergence between expert-assigned dimension weights (internal-heavy: 0.643) and empirical participation effects (external-dominant) is not merely a caveat; it is an informative finding in its own right. Expert AHP weights encode a normative judgment about what strategic factors</w:t>
      </w:r>
      <w:r>
        <w:t xml:space="preserve"> </w:t>
      </w:r>
      <w:r>
        <w:rPr>
          <w:iCs/>
          <w:i/>
        </w:rPr>
        <w:t xml:space="preserve">should</w:t>
      </w:r>
      <w:r>
        <w:t xml:space="preserve"> </w:t>
      </w:r>
      <w:r>
        <w:t xml:space="preserve">determine success in livestream e-commerce. The empirical results show that farmers’ actual participation decisions are driven more by external environmental variation than this normative weighting would predict.</w:t>
      </w:r>
    </w:p>
    <w:p>
      <w:pPr>
        <w:pStyle w:val="BodyText"/>
      </w:pPr>
      <w:r>
        <w:t xml:space="preserve">This divergence has a plausible behavioral interpretation. Farmers may systematically underweight their internal capability differences when deciding whether to participate—either because they perceive internal factors as more controllable and thus less decision-relevant under normal operating conditions, or because the salience of external constraints (unstable platform rules, competitive dynamics, infrastructure gaps) makes external conditions more cognitively prominent in the adoption calculus. The result aligns with evidence that locus of control—specifically external orientation—reduces agricultural technology adoption (Abay et al., 2017): when environmental factors loom large, internal capacity advantages may be discounted in the entry decision even when they are objectively present.</w:t>
      </w:r>
    </w:p>
    <w:p>
      <w:pPr>
        <w:pStyle w:val="BodyText"/>
      </w:pPr>
      <w:r>
        <w:t xml:space="preserve">From a policy standpoint, the tension points to a sequencing implication: the expert consensus about the importance of internal capabilities may be correct about long-run performance determinants (and the performance stage results confirm this), but it overstates internal factors’ role in driving the initial participation decision. Policies that focus exclusively on capability building—technical training, skill development, quality improvement—are unlikely to move participation rates substantially if external barriers remain high. Conversely, policies that improve external conditions (infrastructure, platform support, consumer trust mechanisms) may unlock participation gains that translate into performance improvements, provided internal capability is subsequently developed.</w:t>
      </w:r>
    </w:p>
    <w:p>
      <w:r>
        <w:pict>
          <v:rect style="width:0;height:1.5pt" o:hralign="center" o:hrstd="t" o:hr="t"/>
        </w:pict>
      </w:r>
    </w:p>
    <w:bookmarkEnd w:id="51"/>
    <w:bookmarkEnd w:id="52"/>
    <w:bookmarkStart w:id="56" w:name="conclusion"/>
    <w:p>
      <w:pPr>
        <w:pStyle w:val="Heading2"/>
      </w:pPr>
      <w:r>
        <w:t xml:space="preserve">8. Conclusion</w:t>
      </w:r>
    </w:p>
    <w:bookmarkStart w:id="53" w:name="main-findings"/>
    <w:p>
      <w:pPr>
        <w:pStyle w:val="Heading3"/>
      </w:pPr>
      <w:r>
        <w:t xml:space="preserve">8.1 Main Findings</w:t>
      </w:r>
    </w:p>
    <w:p>
      <w:pPr>
        <w:pStyle w:val="FirstParagraph"/>
      </w:pPr>
      <w:r>
        <w:t xml:space="preserve">This study applies an individual-level SWOT-AHP framework to examine farmers’ participation in and performance from livestream e-commerce in rural China. Three principal findings emerge.</w:t>
      </w:r>
    </w:p>
    <w:p>
      <w:pPr>
        <w:pStyle w:val="BodyText"/>
      </w:pPr>
      <w:r>
        <w:t xml:space="preserve">First, at the participation stage, external strategic conditions dominate the participation decision. Among the four SWOT dimensions, opportunity and threat indices are the strongest predictors (O: β = 2.749, p &lt; 0.001; T: β = −1.349, p &lt; 0.001), while the strength index is not statistically significant. Net external strategic position (External_diff) carries substantially larger predictive weight than net internal position (Internal_diff) in the balance-index model. Farmers in strategically favorable external environments (SO and WO types) participate at rates of 77.8% and 93.1%, respectively, while those in unfavorable external environments (WT and ST types) participate at 31.4% and 47.4%—with no statistically significant difference between the latter two.</w:t>
      </w:r>
    </w:p>
    <w:p>
      <w:pPr>
        <w:pStyle w:val="BodyText"/>
      </w:pPr>
      <w:r>
        <w:t xml:space="preserve">Second, at the performance stage, the pattern reverses. Among participating farmers, Internal_diff is a significant positive predictor of both income performance and livestream sales share, while External_diff is not significant. The clean index robustness specification confirms that this internal capability effect is not driven by construct overlap with income measures. Household labor force endowment is an additional significant predictor, consistent with internal operational capacity as a performance determinant.</w:t>
      </w:r>
    </w:p>
    <w:p>
      <w:pPr>
        <w:pStyle w:val="BodyText"/>
      </w:pPr>
      <w:r>
        <w:t xml:space="preserve">Third, the AHP expert weight distribution—which favors internal dimensions (0.643 combined)—diverges from the empirically revealed pattern. This divergence is a substantive finding: expert normative assessments of strategic importance do not correspond to the behavioral drivers of farmers’ actual participation decisions, suggesting systematic external attribution tendencies in decision-making under uncertain external conditions.</w:t>
      </w:r>
    </w:p>
    <w:bookmarkEnd w:id="53"/>
    <w:bookmarkStart w:id="54" w:name="policy-implications"/>
    <w:p>
      <w:pPr>
        <w:pStyle w:val="Heading3"/>
      </w:pPr>
      <w:r>
        <w:t xml:space="preserve">8.2 Policy Implications</w:t>
      </w:r>
    </w:p>
    <w:p>
      <w:pPr>
        <w:pStyle w:val="FirstParagraph"/>
      </w:pPr>
      <w:r>
        <w:t xml:space="preserve">The two-stage separation has direct implications for the design and sequencing of rural e-commerce policy. In regions where participation rates are low, improving external conditions should be prioritized: enhancing digital infrastructure, strengthening platform support services, building consumer trust in rural-origin agricultural products, and providing institutional buffers against competitive and logistical threats. These external improvements address the binding constraint on participation decisions.</w:t>
      </w:r>
    </w:p>
    <w:p>
      <w:pPr>
        <w:pStyle w:val="BodyText"/>
      </w:pPr>
      <w:r>
        <w:t xml:space="preserve">Once participation is achieved, the policy emphasis should shift toward internal capability development. Technical training in livestream operation, product quality certification and differentiation, marketing skill enhancement, and support for household labor force engagement in digital sales activities are the interventions most likely to translate participation into performance gains. The clean index findings suggest these interventions should go beyond financial scale support, addressing capability dimensions that are more directly linked to channel performance.</w:t>
      </w:r>
    </w:p>
    <w:bookmarkEnd w:id="54"/>
    <w:bookmarkStart w:id="55" w:name="limitations-and-future-research"/>
    <w:p>
      <w:pPr>
        <w:pStyle w:val="Heading3"/>
      </w:pPr>
      <w:r>
        <w:t xml:space="preserve">8.3 Limitations and Future Research</w:t>
      </w:r>
    </w:p>
    <w:p>
      <w:pPr>
        <w:pStyle w:val="FirstParagraph"/>
      </w:pPr>
      <w:r>
        <w:t xml:space="preserve">Several limitations qualify these findings. The study is conducted in a single township in Wuchang City, Heilongjiang Province. The high observed participation rate (69.3%) likely reflects regional-specific factors—including the well-established Wuchang rice brand and the township’s early engagement with digital platforms—that may not generalize to regions with weaker agricultural brands or less developed digital infrastructure. The cross-sectional design precludes causal inference and cannot capture dynamic processes of capability development and market adaptation. The AHP expert panel is small (n = 3), and while consistency ratios were verified, the weight structure carries uncertainty from this limited panel. The structural equation model estimated on the participant subsample showed poor fit (CFI = 0.512, RMSEA = 0.157) and is treated as exploratory only; the regression-based findings constitute the primary evidence.</w:t>
      </w:r>
    </w:p>
    <w:p>
      <w:pPr>
        <w:pStyle w:val="BodyText"/>
      </w:pPr>
      <w:r>
        <w:t xml:space="preserve">Future research should pursue multi-site replication to assess the generalizability of the two-stage separation finding across regions with varying levels of platform development and agricultural brand strength. Longitudinal data would enable examination of the dynamic interplay between external condition changes and internal capability accumulation over time. Expansion of the AHP expert panel and development of psychometrically validated SWOT instruments would strengthen the measurement foundations of this approach.</w:t>
      </w:r>
    </w:p>
    <w:p>
      <w:r>
        <w:pict>
          <v:rect style="width:0;height:1.5pt" o:hralign="center" o:hrstd="t" o:hr="t"/>
        </w:pict>
      </w:r>
    </w:p>
    <w:bookmarkEnd w:id="55"/>
    <w:bookmarkEnd w:id="56"/>
    <w:bookmarkStart w:id="57" w:name="references"/>
    <w:p>
      <w:pPr>
        <w:pStyle w:val="Heading2"/>
      </w:pPr>
      <w:r>
        <w:t xml:space="preserve">References</w:t>
      </w:r>
    </w:p>
    <w:p>
      <w:pPr>
        <w:pStyle w:val="FirstParagraph"/>
      </w:pPr>
      <w:r>
        <w:t xml:space="preserve">Abay, K. A., Berhane, G., &amp; Blalock, G. (2017). Locus of control and technology adoption in developing country agriculture: Evidence from Ethiopia.</w:t>
      </w:r>
      <w:r>
        <w:t xml:space="preserve"> </w:t>
      </w:r>
      <w:r>
        <w:rPr>
          <w:iCs/>
          <w:i/>
        </w:rPr>
        <w:t xml:space="preserve">Journal of Economic Behavior &amp; Organization</w:t>
      </w:r>
      <w:r>
        <w:t xml:space="preserve">,</w:t>
      </w:r>
      <w:r>
        <w:t xml:space="preserve"> </w:t>
      </w:r>
      <w:r>
        <w:rPr>
          <w:iCs/>
          <w:i/>
        </w:rPr>
        <w:t xml:space="preserve">143</w:t>
      </w:r>
      <w:r>
        <w:t xml:space="preserve">, 98–115. https://doi.org/10.1016/j.jebo.2017.08.002</w:t>
      </w:r>
    </w:p>
    <w:p>
      <w:pPr>
        <w:pStyle w:val="BodyText"/>
      </w:pPr>
      <w:r>
        <w:t xml:space="preserve">Barney, J. (1991). Firm resources and sustained competitive advantage.</w:t>
      </w:r>
      <w:r>
        <w:t xml:space="preserve"> </w:t>
      </w:r>
      <w:r>
        <w:rPr>
          <w:iCs/>
          <w:i/>
        </w:rPr>
        <w:t xml:space="preserve">Journal of Management</w:t>
      </w:r>
      <w:r>
        <w:t xml:space="preserve">,</w:t>
      </w:r>
      <w:r>
        <w:t xml:space="preserve"> </w:t>
      </w:r>
      <w:r>
        <w:rPr>
          <w:iCs/>
          <w:i/>
        </w:rPr>
        <w:t xml:space="preserve">17</w:t>
      </w:r>
      <w:r>
        <w:t xml:space="preserve">(1), 99–120. https://doi.org/10.1177/014920639101700108</w:t>
      </w:r>
    </w:p>
    <w:p>
      <w:pPr>
        <w:pStyle w:val="BodyText"/>
      </w:pPr>
      <w:r>
        <w:t xml:space="preserve">Chen, X., Zhang, X., &amp; Chen, J. (2024). TAM-based study of farmers’ live streaming e-commerce adoption intentions.</w:t>
      </w:r>
      <w:r>
        <w:t xml:space="preserve"> </w:t>
      </w:r>
      <w:r>
        <w:rPr>
          <w:iCs/>
          <w:i/>
        </w:rPr>
        <w:t xml:space="preserve">Agriculture</w:t>
      </w:r>
      <w:r>
        <w:t xml:space="preserve">,</w:t>
      </w:r>
      <w:r>
        <w:t xml:space="preserve"> </w:t>
      </w:r>
      <w:r>
        <w:rPr>
          <w:iCs/>
          <w:i/>
        </w:rPr>
        <w:t xml:space="preserve">14</w:t>
      </w:r>
      <w:r>
        <w:t xml:space="preserve">(4), 518. https://doi.org/10.3390/agriculture14040518</w:t>
      </w:r>
    </w:p>
    <w:p>
      <w:pPr>
        <w:pStyle w:val="BodyText"/>
      </w:pPr>
      <w:r>
        <w:t xml:space="preserve">Gürel, E. (2017). SWOT analysis: A theoretical review.</w:t>
      </w:r>
      <w:r>
        <w:t xml:space="preserve"> </w:t>
      </w:r>
      <w:r>
        <w:rPr>
          <w:iCs/>
          <w:i/>
        </w:rPr>
        <w:t xml:space="preserve">Journal of International Social Research</w:t>
      </w:r>
      <w:r>
        <w:t xml:space="preserve">,</w:t>
      </w:r>
      <w:r>
        <w:t xml:space="preserve"> </w:t>
      </w:r>
      <w:r>
        <w:rPr>
          <w:iCs/>
          <w:i/>
        </w:rPr>
        <w:t xml:space="preserve">10</w:t>
      </w:r>
      <w:r>
        <w:t xml:space="preserve">(51), 994–1006. https://doi.org/10.17719/jisr.2017.1832</w:t>
      </w:r>
    </w:p>
    <w:p>
      <w:pPr>
        <w:pStyle w:val="BodyText"/>
      </w:pPr>
      <w:r>
        <w:t xml:space="preserve">Heckman, J. J. (1979). Sample selection bias as a specification error.</w:t>
      </w:r>
      <w:r>
        <w:t xml:space="preserve"> </w:t>
      </w:r>
      <w:r>
        <w:rPr>
          <w:iCs/>
          <w:i/>
        </w:rPr>
        <w:t xml:space="preserve">Econometrica</w:t>
      </w:r>
      <w:r>
        <w:t xml:space="preserve">,</w:t>
      </w:r>
      <w:r>
        <w:t xml:space="preserve"> </w:t>
      </w:r>
      <w:r>
        <w:rPr>
          <w:iCs/>
          <w:i/>
        </w:rPr>
        <w:t xml:space="preserve">47</w:t>
      </w:r>
      <w:r>
        <w:t xml:space="preserve">(1), 153–161. https://doi.org/10.2307/1912352</w:t>
      </w:r>
    </w:p>
    <w:p>
      <w:pPr>
        <w:pStyle w:val="BodyText"/>
      </w:pPr>
      <w:r>
        <w:t xml:space="preserve">Li, X., Guo, H., Jin, S., Ma, W., &amp; Zeng, Y. (2021). Do farmers gain internet dividends from e-commerce adoption? Evidence from China.</w:t>
      </w:r>
      <w:r>
        <w:t xml:space="preserve"> </w:t>
      </w:r>
      <w:r>
        <w:rPr>
          <w:iCs/>
          <w:i/>
        </w:rPr>
        <w:t xml:space="preserve">Food Policy</w:t>
      </w:r>
      <w:r>
        <w:t xml:space="preserve">,</w:t>
      </w:r>
      <w:r>
        <w:t xml:space="preserve"> </w:t>
      </w:r>
      <w:r>
        <w:rPr>
          <w:iCs/>
          <w:i/>
        </w:rPr>
        <w:t xml:space="preserve">101</w:t>
      </w:r>
      <w:r>
        <w:t xml:space="preserve">, 102024. https://doi.org/10.1016/j.foodpol.2021.102024</w:t>
      </w:r>
    </w:p>
    <w:p>
      <w:pPr>
        <w:pStyle w:val="BodyText"/>
      </w:pPr>
      <w:r>
        <w:t xml:space="preserve">Ministry of Agriculture and Rural Affairs of the People’s Republic of China. (2024, January 23).</w:t>
      </w:r>
      <w:r>
        <w:t xml:space="preserve"> </w:t>
      </w:r>
      <w:r>
        <w:rPr>
          <w:iCs/>
          <w:i/>
        </w:rPr>
        <w:t xml:space="preserve">Rural online retail sales hit 2.49 trillion yuan in 2023</w:t>
      </w:r>
      <w:r>
        <w:t xml:space="preserve">. China.org.cn. http://www.china.org.cn/business/2024-01/23/content_116959906.htm</w:t>
      </w:r>
    </w:p>
    <w:p>
      <w:pPr>
        <w:pStyle w:val="BodyText"/>
      </w:pPr>
      <w:r>
        <w:t xml:space="preserve">Nguyen, K. D., Long, D. D., &amp; Nguyen, N. Q. (2022). Tea farmers’ intention to participate in livestream sales in Vietnam: The combination of the Technology Acceptance Model (TAM) and barrier factors.</w:t>
      </w:r>
      <w:r>
        <w:t xml:space="preserve"> </w:t>
      </w:r>
      <w:r>
        <w:rPr>
          <w:iCs/>
          <w:i/>
        </w:rPr>
        <w:t xml:space="preserve">Journal of Rural Studies</w:t>
      </w:r>
      <w:r>
        <w:t xml:space="preserve">,</w:t>
      </w:r>
      <w:r>
        <w:t xml:space="preserve"> </w:t>
      </w:r>
      <w:r>
        <w:rPr>
          <w:iCs/>
          <w:i/>
        </w:rPr>
        <w:t xml:space="preserve">94</w:t>
      </w:r>
      <w:r>
        <w:t xml:space="preserve">, 408–417. https://doi.org/10.1016/j.jrurstud.2022.05.023</w:t>
      </w:r>
    </w:p>
    <w:p>
      <w:pPr>
        <w:pStyle w:val="BodyText"/>
      </w:pPr>
      <w:r>
        <w:t xml:space="preserve">Rivers, D., &amp; Vuong, Q. H. (1988). Limited information estimators and exogeneity tests for simultaneous probit models.</w:t>
      </w:r>
      <w:r>
        <w:t xml:space="preserve"> </w:t>
      </w:r>
      <w:r>
        <w:rPr>
          <w:iCs/>
          <w:i/>
        </w:rPr>
        <w:t xml:space="preserve">Journal of Econometrics</w:t>
      </w:r>
      <w:r>
        <w:t xml:space="preserve">,</w:t>
      </w:r>
      <w:r>
        <w:t xml:space="preserve"> </w:t>
      </w:r>
      <w:r>
        <w:rPr>
          <w:iCs/>
          <w:i/>
        </w:rPr>
        <w:t xml:space="preserve">39</w:t>
      </w:r>
      <w:r>
        <w:t xml:space="preserve">(3), 347–366. https://doi.org/10.1016/0304-4076(88)90063-2</w:t>
      </w:r>
    </w:p>
    <w:p>
      <w:pPr>
        <w:pStyle w:val="BodyText"/>
      </w:pPr>
      <w:r>
        <w:t xml:space="preserve">Saaty, T. L. (1980).</w:t>
      </w:r>
      <w:r>
        <w:t xml:space="preserve"> </w:t>
      </w:r>
      <w:r>
        <w:rPr>
          <w:iCs/>
          <w:i/>
        </w:rPr>
        <w:t xml:space="preserve">The analytic hierarchy process</w:t>
      </w:r>
      <w:r>
        <w:t xml:space="preserve">. McGraw-Hill.</w:t>
      </w:r>
    </w:p>
    <w:p>
      <w:pPr>
        <w:pStyle w:val="BodyText"/>
      </w:pPr>
      <w:r>
        <w:t xml:space="preserve">Takam Fongang, G. M., Guay, J.-F., &amp; Séguin, C. (2023). A composite index measuring adoption of conservation agriculture among maize and soybean farmers in Québec.</w:t>
      </w:r>
      <w:r>
        <w:t xml:space="preserve"> </w:t>
      </w:r>
      <w:r>
        <w:rPr>
          <w:iCs/>
          <w:i/>
        </w:rPr>
        <w:t xml:space="preserve">Agronomy</w:t>
      </w:r>
      <w:r>
        <w:t xml:space="preserve">,</w:t>
      </w:r>
      <w:r>
        <w:t xml:space="preserve"> </w:t>
      </w:r>
      <w:r>
        <w:rPr>
          <w:iCs/>
          <w:i/>
        </w:rPr>
        <w:t xml:space="preserve">13</w:t>
      </w:r>
      <w:r>
        <w:t xml:space="preserve">(3), 777. https://doi.org/10.3390/agronomy13030777</w:t>
      </w:r>
    </w:p>
    <w:p>
      <w:r>
        <w:pict>
          <v:rect style="width:0;height:1.5pt" o:hralign="center" o:hrstd="t" o:hr="t"/>
        </w:pict>
      </w:r>
    </w:p>
    <w:bookmarkEnd w:id="57"/>
    <w:bookmarkStart w:id="58" w:name="Xb3c4ffe5b52fe1280327fa9aabb2e89ee8d3191"/>
    <w:p>
      <w:pPr>
        <w:pStyle w:val="Heading2"/>
      </w:pPr>
      <w:r>
        <w:t xml:space="preserve">Appendix A: Structural Equation Model (Exploratory)</w:t>
      </w:r>
    </w:p>
    <w:p>
      <w:pPr>
        <w:pStyle w:val="FirstParagraph"/>
      </w:pPr>
      <w:r>
        <w:t xml:space="preserve">As an exploratory complement to the regression analysis, a structural equation model (SEM) was estimated on the participant subsample (n = 203), specifying paths from internal factors (INS: Internal_diff) and external factors (ENO: External_diff) to income performance. The path from INS to income was significant (β = 0.938, p &lt; 0.001), while the path from ENO to income was not significant (β = −0.062, p &gt; 0.10), consistent with the regression findings. However, model fit indices did not meet conventional thresholds (CFI = 0.512, TLI = 0.634, RMSEA = 0.157, SRMR = 0.038). Given these fit limitations, the SEM results are treated as exploratory and the regression-based estimates in the main text constitute the primary evidence.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2026-06-01T08:59:50Z</dcterms:created>
  <dcterms:modified xsi:type="dcterms:W3CDTF">2026-06-01T08:59:50Z</dcterms:modified>
</cp:coreProperties>
</file>

<file path=docProps/custom.xml><?xml version="1.0" encoding="utf-8"?>
<Properties xmlns="http://schemas.openxmlformats.org/officeDocument/2006/custom-properties" xmlns:vt="http://schemas.openxmlformats.org/officeDocument/2006/docPropsVTypes"/>
</file>