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Layout w:type="fixed"/>
        <w:tblLook w:val="0400"/>
      </w:tblPr>
      <w:tblGrid>
        <w:gridCol w:w="250"/>
        <w:gridCol w:w="5562"/>
        <w:tblGridChange w:id="0">
          <w:tblGrid>
            <w:gridCol w:w="250"/>
            <w:gridCol w:w="556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УТВЕРЖДЕНО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Решением Наблюдательного Совета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Парка высоких технологий КР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от 30 октября 2013 года и обновлено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15 июля 2019 года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  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ДОГОВОР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№ 366/06-Д-23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 условиях деятельности резидента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Парка высоких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932.0" w:type="dxa"/>
        <w:jc w:val="left"/>
        <w:tblLayout w:type="fixed"/>
        <w:tblLook w:val="0400"/>
      </w:tblPr>
      <w:tblGrid>
        <w:gridCol w:w="8647"/>
        <w:gridCol w:w="1285"/>
        <w:tblGridChange w:id="0">
          <w:tblGrid>
            <w:gridCol w:w="8647"/>
            <w:gridCol w:w="12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«26»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июня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2023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                                                                                                      г.Бишкек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Учреждение «Дирекция Парка высоких технологий Кыргызской Республики»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именуемое в дальнейшем «Дирекция», в лице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директора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Абакирова Азиса Джумабековича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действующего на основании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Устава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с одной стороны,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ИП «Платонов Вадим Владимирович»,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именуемый в дальнейшем «Резидент», в лице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Платонова Вадима Владимировича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заключили настоящий договор о нижеследующем: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Предмет договора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426" w:hanging="43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Настоящий договор определяет условия деятельности Резидента, его права и обязанности, права и обязанности Дирекции, порядок взаимодействия сторон настоящего договора и предоставления, установленного действующим законодательством специального правового режима деятельности Резидента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20" w:before="120" w:line="240" w:lineRule="auto"/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Права сторон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40" w:lineRule="auto"/>
        <w:ind w:left="426" w:hanging="43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Дирекция имеет право: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tabs>
          <w:tab w:val="left" w:leader="none" w:pos="993"/>
          <w:tab w:val="left" w:leader="none" w:pos="1560"/>
        </w:tabs>
        <w:spacing w:before="120" w:line="240" w:lineRule="auto"/>
        <w:ind w:left="851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запрашивать копии статистической, бухгалтерской и иной отчетности о деятельности Резидента, представляемой в органы, ГНИ, государственной статистики, Социального фонда и другие госучреждения;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tabs>
          <w:tab w:val="left" w:leader="none" w:pos="993"/>
        </w:tabs>
        <w:spacing w:line="240" w:lineRule="auto"/>
        <w:ind w:left="851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требовать от Резидента представления аудиторского заключения о достоверности годовой бухгалтерской (финансовой) отчетности Резидента;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tabs>
          <w:tab w:val="left" w:leader="none" w:pos="993"/>
        </w:tabs>
        <w:spacing w:line="240" w:lineRule="auto"/>
        <w:ind w:left="851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распространять информацию о Резиденте на выставках, семинарах и официальных встречах по договоренности сторон;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tabs>
          <w:tab w:val="left" w:leader="none" w:pos="993"/>
        </w:tabs>
        <w:spacing w:line="240" w:lineRule="auto"/>
        <w:ind w:left="851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иные права, предусмотренные законодательством.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Резидент имеет право: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tabs>
          <w:tab w:val="left" w:leader="none" w:pos="993"/>
        </w:tabs>
        <w:spacing w:before="120" w:line="240" w:lineRule="auto"/>
        <w:ind w:left="851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самостоятельно формировать производственную программу и реализовывать производимую продукцию (работы, услуги, имущественные права на объекты интеллектуальной собственности) соответствующую направлению деятельности ПВТ;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tabs>
          <w:tab w:val="left" w:leader="none" w:pos="993"/>
        </w:tabs>
        <w:spacing w:line="240" w:lineRule="auto"/>
        <w:ind w:left="851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размещать в установленном законодательством порядке товарные знаки или знаки обслуживания Дирекции Парка высоких технологий на фирменных бланках, фирменных вывесках, визитных карточках, рекламных материалах;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tabs>
          <w:tab w:val="left" w:leader="none" w:pos="993"/>
        </w:tabs>
        <w:spacing w:line="240" w:lineRule="auto"/>
        <w:ind w:left="851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распространять с согласия Дирекции на выставках, семинарах и официальных встречах информацию о Парке высоких технологий КР;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осуществлять один или несколько следующих видов деятельности: анализ, проектирование и разработка программного обеспечения информационных систем (в рамках осуществления данного вида деятельности выполняются: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851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проектирование, разработка, поставка и документирование информационных систем и индивидуального программного обеспечения, отвечающих заказам конкретных потребителей;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851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проектирование, разработка, поставка и документирование готового программного обеспечения общего пользования;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851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производство программ по указанию пользователя;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851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проектирование, разработка и внедрение автоматизированных систем управления;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851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оказание услуг по эксплуатации произведенных самим Резидентом Парка высоких технологий информационных систем, в том числе по обучению работе, а также повышению квалификации с этими системами);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851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деятельность по обработке данных с применением программного обеспечения потребителя или собственного программного обеспечения;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993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фундаментальные и прикладные исследования, экспериментальные разработки в области естественных и технических наук (выполнение научно-исследовательских, опытно-конструкторских или опытно-технологических работ, связанных с направлениями деятельности Парка высоких технологий) и реализация результатов таких исследований и разработок;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993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другие виды деятельности, определенные «Законом о ПВТ»)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вносить на рассмотрение Дирекции обоснованные предложения по изменениям и дополнениям в бизнес-проект, реализуемый в рамках Парка высоких технологий;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tabs>
          <w:tab w:val="left" w:leader="none" w:pos="993"/>
        </w:tabs>
        <w:spacing w:line="240" w:lineRule="auto"/>
        <w:ind w:left="851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иные права, предусмотренные законодательством.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20" w:before="120" w:line="240" w:lineRule="auto"/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Обязанности сторон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Дирекция обязана: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line="240" w:lineRule="auto"/>
        <w:ind w:left="992" w:hanging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обеспечить Резиденту условия для осуществления инвестиционной, предпринимательской, научно-исследовательской, опытно-конструкторской и опытно-технологической деятельности в соответствии с законодательством, регулирующим деятельность Парка высоких технологий, предусматривающие в том числе информационную поддержку по практике применения налоговых льгот Резидентом Парка высоких технологий;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контролировать соблюдение Резидентом законодательства, регулирующего деятельность Парка высоких технологий, условий настоящего договора;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spacing w:line="240" w:lineRule="auto"/>
        <w:ind w:left="993" w:hanging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выполнять иные обязанности, предусмотренные законодательством.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Резидент обязан: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line="240" w:lineRule="auto"/>
        <w:ind w:left="992" w:hanging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осуществлять виды деятельности, отличные от видов деятельности, перечисленных в подпункте 2.2.4 пункта 2 настоящего договора в период действия статуса Резидента Парка высоких технологий;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line="240" w:lineRule="auto"/>
        <w:ind w:left="930" w:hanging="50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направлять по запросу Дирекции копии статистической, бухгалтерской и иной отчетности о деятельности Резидента, представляемой в органы, ГНИ, государственной статистики, Социального фонда и другие госучреждения;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spacing w:line="240" w:lineRule="auto"/>
        <w:ind w:left="930" w:hanging="50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зачислять денежные средства, полученные от реализации товаров (работ, услуг, имущественных прав на объекты интеллектуальной собственности) при осуществлении видов деятельности, указанных в подпункте 2.2.4 пункта 2 настоящего договора, на счета банков, созданных на территории Кыргызской Республики;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line="240" w:lineRule="auto"/>
        <w:ind w:left="930" w:hanging="50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ежегодно проводить обязательный аудит достоверности годовой бухгалтерской (финансовой) отчетности и представлять аудиторское заключение о достоверности годовой бухгалтерской (финансовой) отчетности в Дирекцию;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line="240" w:lineRule="auto"/>
        <w:ind w:left="930" w:hanging="504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производить отчисления Дирекции в размере одного процента от выручки, полученной за предшествующий квартал при осуществлении видов деятельности, указанных в настоящем договоре, не позднее 10-го числа месяца, следующего за истекшим кварталом на счет Дирекции.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120" w:before="120" w:line="240" w:lineRule="auto"/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Стороны настоящего договора не несут ответственности по обязательствам другой стороны перед третьими лицами.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случае неисполнения или ненадлежащего исполнения сторонами обязательств по настоящему договору виновная сторона возмещает причиненные этим убытки в порядке, предусмотренном законодательством Кыргызской Республики.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несвоевременную выплату отчислений Дирекции в соответствии с подпунктом 3.2.5 пункта 3 настоящего договора уплачивается пеня в размере 0,5 процента от суммы платежа за каждый день просрочки.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120" w:before="120" w:line="240" w:lineRule="auto"/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Обстоятельства, исключающие ответственность сторон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line="240" w:lineRule="auto"/>
        <w:ind w:left="426" w:hanging="43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 одна из сторон не будет нести ответственность за неисполнение или ненадлежащее исполнение своих обязательств по настоящему договору, если надлежащее исполнение обязательств невозможно вследствие непреодолимой силы, то есть чрезвычайных и непредотвратимых при данных условиях обстоятельств.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действие непреодолимой силы будет продолжаться более трех месяцев, обязательства, исполнению которых препятствуют обстоятельства, предусмотренные подпунктом 5.1 настоящего пункта, прекращаются в соответствии с законодательством.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120" w:before="120" w:line="240" w:lineRule="auto"/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Порядок разрешения споров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line="240" w:lineRule="auto"/>
        <w:ind w:left="426" w:hanging="43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споры и разногласия между сторонами, которые могут возникнуть по настоящему договору, если они не будут разрешены путем переговоров, подлежат рассмотрению в судах Кыргызской Республики в соответствии с законодательством Кыргызской Республики.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20" w:before="120" w:line="240" w:lineRule="auto"/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Конфиденциальность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240" w:lineRule="auto"/>
        <w:ind w:left="426" w:hanging="43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Стороны обязуются хранить в тайне информацию и данные технического, экономического и коммерческого характера, представленные каждой из сторон в связи с выполнением данного договора, не использовать в собственных целях, не открывать и не разглашать ее какой-либо третьей стороне без предварительного письменного согласия другой стороны. Данные обязательства по конфиденциальности не будут распространяться на общедоступную информацию.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before="120" w:line="240" w:lineRule="auto"/>
        <w:ind w:left="426" w:hanging="43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Ответственность за разглашение конфиденциальной информации, в том числе коммерческой тайны сторон, определяется законодательством Кыргызской Республики.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120" w:before="120" w:line="240" w:lineRule="auto"/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Условия расторжения договора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before="120" w:line="240" w:lineRule="auto"/>
        <w:ind w:left="425" w:hanging="43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Дирекция вправе расторгнуть настоящий договор в случаях и в порядке, предусмотренных законодательством.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before="120" w:line="240" w:lineRule="auto"/>
        <w:ind w:left="425" w:hanging="43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Резидент вправе расторгнуть настоящий договор путем подачи соответствующего письменного заявления не менее чем за месяц до его расторжения.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before="120" w:line="240" w:lineRule="auto"/>
        <w:ind w:left="425" w:hanging="43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Настоящий договор расторгается в случае лишения Резидента статуса Резидента Парка высоких технологий.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120" w:before="120" w:line="240" w:lineRule="auto"/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Срок действия договора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line="240" w:lineRule="auto"/>
        <w:ind w:left="426" w:hanging="43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Настоящий договор заключен на шесть месяцев с момента подписания настоящего договора.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Если по истечении срока, определенного в договоре, ни одна из сторон не изъявит желания прекратить его действие, он считается автоматически продленным на срок до даты решения об окончательной регистрации резидента Наблюдательным Советом ПВТ КР.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120" w:before="120" w:line="240" w:lineRule="auto"/>
        <w:ind w:left="3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Дополнительные положения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240" w:lineRule="auto"/>
        <w:ind w:left="426" w:hanging="43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Настоящий договор вступает в силу после его подписания обеими сторонами.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240" w:lineRule="auto"/>
        <w:ind w:left="426" w:hanging="43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изменения и дополнения к настоящему договору считаются действительными, если они составлены в письменной форме и подписаны обеими сторонами.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240" w:lineRule="auto"/>
        <w:ind w:left="426" w:hanging="43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случаях, не предусмотренных настоящим договором, стороны руководствуются законодательством Кыргызской Республики.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40" w:lineRule="auto"/>
        <w:ind w:left="426" w:hanging="43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Настоящий договор составлен в двух подлинных экземплярах, по одному для каждой из сторон.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Юридические адреса и банковские реквизиты сторон</w:t>
      </w: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Layout w:type="fixed"/>
        <w:tblLook w:val="0400"/>
      </w:tblPr>
      <w:tblGrid>
        <w:gridCol w:w="4536"/>
        <w:gridCol w:w="289"/>
        <w:gridCol w:w="4814"/>
        <w:tblGridChange w:id="0">
          <w:tblGrid>
            <w:gridCol w:w="4536"/>
            <w:gridCol w:w="289"/>
            <w:gridCol w:w="48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Дирекция: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ind w:left="-247" w:right="-36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Резидент: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Директор Дирекции ПВТ КР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ind w:left="-110" w:right="-3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ИП «Платонов Вадим Владимирович»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Абакиров А.Д.___________________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0" w:right="-3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Платонов В.В.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Банковские реквизиты: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ind w:left="-124" w:right="-36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Банковские реквизиты: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Demir Kyrgyz International Bank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г. Бишкек. Кыргызская Республика 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Р/С: 1180000054681736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БИК: 118003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ОАО «Бакай Банк»</w:t>
            </w:r>
          </w:p>
          <w:p w:rsidR="00000000" w:rsidDel="00000000" w:rsidP="00000000" w:rsidRDefault="00000000" w:rsidRPr="00000000" w14:paraId="0000006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г. Бишкек. Кыргызская Республика </w:t>
            </w:r>
          </w:p>
          <w:p w:rsidR="00000000" w:rsidDel="00000000" w:rsidP="00000000" w:rsidRDefault="00000000" w:rsidRPr="00000000" w14:paraId="00000063">
            <w:pPr>
              <w:ind w:left="-111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Р/С: 1240040000915208</w:t>
            </w:r>
          </w:p>
          <w:p w:rsidR="00000000" w:rsidDel="00000000" w:rsidP="00000000" w:rsidRDefault="00000000" w:rsidRPr="00000000" w14:paraId="00000064">
            <w:pPr>
              <w:ind w:left="-111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БИК: 124012</w:t>
            </w:r>
          </w:p>
          <w:p w:rsidR="00000000" w:rsidDel="00000000" w:rsidP="00000000" w:rsidRDefault="00000000" w:rsidRPr="00000000" w14:paraId="00000065">
            <w:pPr>
              <w:ind w:left="-111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284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9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930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3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7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44EFD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uiPriority w:val="59"/>
    <w:rsid w:val="001C10A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unhideWhenUsed w:val="1"/>
    <w:rsid w:val="0056439C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6" w:customStyle="1">
    <w:name w:val="Текст выноски Знак"/>
    <w:link w:val="a5"/>
    <w:uiPriority w:val="99"/>
    <w:semiHidden w:val="1"/>
    <w:rsid w:val="0056439C"/>
    <w:rPr>
      <w:rFonts w:ascii="Segoe UI" w:cs="Segoe UI" w:hAnsi="Segoe UI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unhideWhenUsed w:val="1"/>
    <w:rsid w:val="0094784A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link w:val="a7"/>
    <w:uiPriority w:val="99"/>
    <w:rsid w:val="0094784A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 w:val="1"/>
    <w:rsid w:val="0094784A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link w:val="a9"/>
    <w:uiPriority w:val="99"/>
    <w:rsid w:val="0094784A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 w:val="1"/>
    <w:rsid w:val="00835661"/>
    <w:pPr>
      <w:ind w:left="720"/>
      <w:contextualSpacing w:val="1"/>
    </w:p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busel.org/texts/cat5vu/id5awsyue.ht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sO42p/Q6biKsk6fgASLi54nFw==">CgMxLjAyCWguMzBqMHpsbDIIaC5namRneHM4AHIhMTRjcmZQdzg4WEt2SDVWQUdxYWhud0d6aWtJSE1NLXND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2021-03-26T05:58:00Z</dcterms:created>
  <dc:creator>Виктор</dc:creator>
</cp:coreProperties>
</file>