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80"/>
        <w:jc w:val="center"/>
      </w:pPr>
      <w:r>
        <w:t>邯宝坊产品资料与参赛授权申请书</w:t>
      </w:r>
    </w:p>
    <w:p>
      <w:pPr>
        <w:spacing w:after="360"/>
        <w:jc w:val="center"/>
      </w:pPr>
      <w:r>
        <w:rPr>
          <w:b/>
          <w:color w:val="6E1F2A"/>
          <w:sz w:val="28"/>
        </w:rPr>
        <w:t>项目：《解围——邯宝坊双节机关礼盒》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5112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文件状态</w:t>
            </w:r>
          </w:p>
        </w:tc>
        <w:tc>
          <w:tcPr>
            <w:tcW w:type="dxa" w:w="5112"/>
            <w:vAlign w:val="center"/>
            <w:shd w:fill="F4F0EA"/>
            <w:tcBorders>
              <w:top w:val="single" w:sz="5" w:color="B9924A"/>
              <w:left w:val="single" w:sz="5" w:color="B9924A"/>
              <w:bottom w:val="single" w:sz="5" w:color="B9924A"/>
              <w:right w:val="single" w:sz="5" w:color="B9924A"/>
              <w:insideH w:val="single" w:sz="5" w:color="B9924A"/>
              <w:insideV w:val="single" w:sz="5" w:color="B9924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待邯宝坊有权代表回填、签署并盖章；当前不构成授权，也不证明具体 SKU 已锁定。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44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填写内容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申请方/作者</w:t>
            </w:r>
          </w:p>
        </w:tc>
        <w:tc>
          <w:tcPr>
            <w:tcW w:type="dxa" w:w="734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院校/单位</w:t>
            </w:r>
          </w:p>
        </w:tc>
        <w:tc>
          <w:tcPr>
            <w:tcW w:type="dxa" w:w="734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联系人及手机</w:t>
            </w:r>
          </w:p>
        </w:tc>
        <w:tc>
          <w:tcPr>
            <w:tcW w:type="dxa" w:w="734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电子邮箱</w:t>
            </w:r>
          </w:p>
        </w:tc>
        <w:tc>
          <w:tcPr>
            <w:tcW w:type="dxa" w:w="734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收件方</w:t>
            </w:r>
          </w:p>
        </w:tc>
        <w:tc>
          <w:tcPr>
            <w:tcW w:type="dxa" w:w="734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邯郸市邯宝坊特产商贸有限公司 品牌管理/赛事对接负责人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申请日期</w:t>
            </w:r>
          </w:p>
        </w:tc>
        <w:tc>
          <w:tcPr>
            <w:tcW w:type="dxa" w:w="734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______年____月____日</w:t>
            </w:r>
          </w:p>
        </w:tc>
      </w:tr>
    </w:tbl>
    <w:p>
      <w:pPr>
        <w:pStyle w:val="Heading1"/>
        <w:keepNext/>
      </w:pPr>
      <w:r>
        <w:t>申请目的</w:t>
      </w:r>
    </w:p>
    <w:p>
      <w:pPr>
        <w:spacing w:after="100" w:line="269" w:lineRule="auto"/>
      </w:pPr>
      <w:r>
        <w:t>本申请用于参加 2026“和氏璧杯”成语之都大学生创意奖赛道一“寻味邯郸·农特产品包装设计”。设计以“围魏救赵”的双向抽拉解锁为结构叙事，拟装入六件由邯宝坊指定的真实在售商品。为避免虚构商品事实、误用品牌资产或以净含量代替结构数据，现申请品牌方提供商品资料并确认有限参赛授权。</w:t>
      </w:r>
    </w:p>
    <w:p>
      <w:pPr>
        <w:spacing w:after="100" w:line="269" w:lineRule="auto"/>
      </w:pPr>
      <w:r>
        <w:t>本文件不请求生产或销售许可。未经另行书面同意，申请方不会把邯宝坊 Logo、商品图片或标签信息用于商业销售、广告投放、联名宣传或永久作品集发布。</w:t>
      </w:r>
    </w:p>
    <w:p>
      <w:r>
        <w:br w:type="page"/>
      </w:r>
    </w:p>
    <w:p>
      <w:pPr>
        <w:pStyle w:val="Heading1"/>
        <w:keepNext/>
      </w:pPr>
      <w:r>
        <w:t>一、请品牌方指定六个真实 SKU</w:t>
      </w:r>
    </w:p>
    <w:p>
      <w:pPr>
        <w:spacing w:after="100" w:line="269" w:lineRule="auto"/>
      </w:pPr>
      <w:r>
        <w:t>以下仅为公开证据形成的候选品类。品牌方可确认、替换或删减；最终以回填的商品全称、条码和样品为唯一建模依据。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91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32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候选品类/商品</w:t>
            </w:r>
          </w:p>
        </w:tc>
        <w:tc>
          <w:tcPr>
            <w:tcW w:type="dxa" w:w="3240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公开可核验信息</w:t>
            </w:r>
          </w:p>
        </w:tc>
        <w:tc>
          <w:tcPr>
            <w:tcW w:type="dxa" w:w="3672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品牌方最终指定（商品全称+条码）</w:t>
            </w:r>
          </w:p>
        </w:tc>
      </w:tr>
      <w:tr>
        <w:tc>
          <w:tcPr>
            <w:tcW w:type="dxa" w:w="691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1</w:t>
            </w:r>
          </w:p>
        </w:tc>
        <w:tc>
          <w:tcPr>
            <w:tcW w:type="dxa" w:w="223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学步桥小磨芝麻香油</w:t>
            </w:r>
          </w:p>
        </w:tc>
        <w:tc>
          <w:tcPr>
            <w:tcW w:type="dxa" w:w="324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抽检信息见 240 mL/瓶</w:t>
            </w:r>
          </w:p>
        </w:tc>
        <w:tc>
          <w:tcPr>
            <w:tcW w:type="dxa" w:w="367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________________________________</w:t>
            </w:r>
          </w:p>
        </w:tc>
      </w:tr>
      <w:tr>
        <w:tc>
          <w:tcPr>
            <w:tcW w:type="dxa" w:w="691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2</w:t>
            </w:r>
          </w:p>
        </w:tc>
        <w:tc>
          <w:tcPr>
            <w:tcW w:type="dxa" w:w="223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黄粱梦小米</w:t>
            </w:r>
          </w:p>
        </w:tc>
        <w:tc>
          <w:tcPr>
            <w:tcW w:type="dxa" w:w="324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公开存在 500 g、2.5 kg 等规格</w:t>
            </w:r>
          </w:p>
        </w:tc>
        <w:tc>
          <w:tcPr>
            <w:tcW w:type="dxa" w:w="367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________________________________</w:t>
            </w:r>
          </w:p>
        </w:tc>
      </w:tr>
      <w:tr>
        <w:tc>
          <w:tcPr>
            <w:tcW w:type="dxa" w:w="691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3</w:t>
            </w:r>
          </w:p>
        </w:tc>
        <w:tc>
          <w:tcPr>
            <w:tcW w:type="dxa" w:w="223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鸡泽辣椒酱</w:t>
            </w:r>
          </w:p>
        </w:tc>
        <w:tc>
          <w:tcPr>
            <w:tcW w:type="dxa" w:w="324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公开存在多品牌及 180–200 g 瓶装规格</w:t>
            </w:r>
          </w:p>
        </w:tc>
        <w:tc>
          <w:tcPr>
            <w:tcW w:type="dxa" w:w="367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________________________________</w:t>
            </w:r>
          </w:p>
        </w:tc>
      </w:tr>
      <w:tr>
        <w:tc>
          <w:tcPr>
            <w:tcW w:type="dxa" w:w="691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4</w:t>
            </w:r>
          </w:p>
        </w:tc>
        <w:tc>
          <w:tcPr>
            <w:tcW w:type="dxa" w:w="223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魏县 NFC 鸭梨饮品</w:t>
            </w:r>
          </w:p>
        </w:tc>
        <w:tc>
          <w:tcPr>
            <w:tcW w:type="dxa" w:w="324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公开报道与邯宝坊线上线下销售有关联</w:t>
            </w:r>
          </w:p>
        </w:tc>
        <w:tc>
          <w:tcPr>
            <w:tcW w:type="dxa" w:w="367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________________________________</w:t>
            </w:r>
          </w:p>
        </w:tc>
      </w:tr>
      <w:tr>
        <w:tc>
          <w:tcPr>
            <w:tcW w:type="dxa" w:w="691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5</w:t>
            </w:r>
          </w:p>
        </w:tc>
        <w:tc>
          <w:tcPr>
            <w:tcW w:type="dxa" w:w="223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涉县核桃/核桃制品</w:t>
            </w:r>
          </w:p>
        </w:tc>
        <w:tc>
          <w:tcPr>
            <w:tcW w:type="dxa" w:w="324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邯宝坊公开报道确认品类</w:t>
            </w:r>
          </w:p>
        </w:tc>
        <w:tc>
          <w:tcPr>
            <w:tcW w:type="dxa" w:w="367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________________________________</w:t>
            </w:r>
          </w:p>
        </w:tc>
      </w:tr>
      <w:tr>
        <w:tc>
          <w:tcPr>
            <w:tcW w:type="dxa" w:w="691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6</w:t>
            </w:r>
          </w:p>
        </w:tc>
        <w:tc>
          <w:tcPr>
            <w:tcW w:type="dxa" w:w="223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大名五百居香肠</w:t>
            </w:r>
          </w:p>
        </w:tc>
        <w:tc>
          <w:tcPr>
            <w:tcW w:type="dxa" w:w="324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公开存在 500 g 袋及礼盒等多规格</w:t>
            </w:r>
          </w:p>
        </w:tc>
        <w:tc>
          <w:tcPr>
            <w:tcW w:type="dxa" w:w="3672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________________________________</w:t>
            </w:r>
          </w:p>
        </w:tc>
      </w:tr>
    </w:tbl>
    <w:p>
      <w:pPr>
        <w:pStyle w:val="Heading1"/>
        <w:keepNext/>
      </w:pPr>
      <w:r>
        <w:t>二、每个 SKU 必须提供的结构数据</w:t>
      </w:r>
    </w:p>
    <w:p>
      <w:pPr>
        <w:pStyle w:val="ListBullet"/>
        <w:spacing w:after="40"/>
      </w:pPr>
      <w:r>
        <w:t>最大外廓：长×宽×高（瓶/罐可填最大直径×高度），包含瓶盖、封口、提手、鼓包和其他凸起；单位 mm。</w:t>
      </w:r>
    </w:p>
    <w:p>
      <w:pPr>
        <w:pStyle w:val="ListBullet"/>
        <w:spacing w:after="40"/>
      </w:pPr>
      <w:r>
        <w:t>抽取三件样品分别实测并填写最大值；软袋在正常充填、自然放置状态测量，不用净含量推算。</w:t>
      </w:r>
    </w:p>
    <w:p>
      <w:pPr>
        <w:pStyle w:val="ListBullet"/>
        <w:spacing w:after="40"/>
      </w:pPr>
      <w:r>
        <w:t>单件毛重、计划装盒数量、正常摆放方向、不可倒置/不可受压区、易碎、防潮、避光、冷链或异味隔离要求。</w:t>
      </w:r>
    </w:p>
    <w:p>
      <w:pPr>
        <w:pStyle w:val="ListBullet"/>
        <w:spacing w:after="40"/>
      </w:pPr>
      <w:r>
        <w:t>六面高清照片（正、背、左、右、顶、底），每张建议长边不低于 3000 px；另附允许用于展板的透明底 PNG 或原始商品图。</w:t>
      </w:r>
    </w:p>
    <w:p>
      <w:pPr>
        <w:pStyle w:val="ListBullet"/>
        <w:spacing w:after="40"/>
      </w:pPr>
      <w:r>
        <w:t>真实标签全文、条码位置、日期/批号位置，以及必须保留的最小字号、可视面积和法务/质量审核要求。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5112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特别说明</w:t>
            </w:r>
          </w:p>
        </w:tc>
        <w:tc>
          <w:tcPr>
            <w:tcW w:type="dxa" w:w="5112"/>
            <w:vAlign w:val="center"/>
            <w:shd w:fill="F4F0EA"/>
            <w:tcBorders>
              <w:top w:val="single" w:sz="5" w:color="B9924A"/>
              <w:left w:val="single" w:sz="5" w:color="B9924A"/>
              <w:bottom w:val="single" w:sz="5" w:color="B9924A"/>
              <w:right w:val="single" w:sz="5" w:color="B9924A"/>
              <w:insideH w:val="single" w:sz="5" w:color="B9924A"/>
              <w:insideV w:val="single" w:sz="5" w:color="B9924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净含量（mL/g/kg）不是包装毛重，也不能推导外廓尺寸。资料未回填前，现有 60×60×35 mm 模型仅为占位件。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三、SKU 数据回填表（1—3）</w:t>
      </w:r>
    </w:p>
    <w:p>
      <w:pPr>
        <w:pStyle w:val="Heading2"/>
        <w:keepNext/>
      </w:pPr>
      <w:r>
        <w:t>SKU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69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83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  <w:tc>
          <w:tcPr>
            <w:tcW w:type="dxa" w:w="1555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56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商品全称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条码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净含量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单件毛重/g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长×宽×高/mm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三件最大值/mm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计划数量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正常朝向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包装材质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易碎等级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□高 □中 □低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储存/隔离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不可受压区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六面图文件名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样品编号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SKU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69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83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  <w:tc>
          <w:tcPr>
            <w:tcW w:type="dxa" w:w="1555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56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商品全称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条码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净含量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单件毛重/g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长×宽×高/mm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三件最大值/mm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计划数量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正常朝向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包装材质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易碎等级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□高 □中 □低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储存/隔离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不可受压区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六面图文件名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样品编号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SKU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69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83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  <w:tc>
          <w:tcPr>
            <w:tcW w:type="dxa" w:w="1555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56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商品全称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条码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净含量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单件毛重/g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长×宽×高/mm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三件最大值/mm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计划数量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正常朝向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包装材质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易碎等级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□高 □中 □低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储存/隔离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不可受压区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六面图文件名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样品编号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四、SKU 数据回填表（4—6）</w:t>
      </w:r>
    </w:p>
    <w:p>
      <w:pPr>
        <w:pStyle w:val="Heading2"/>
        <w:keepNext/>
      </w:pPr>
      <w:r>
        <w:t>SKU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69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83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  <w:tc>
          <w:tcPr>
            <w:tcW w:type="dxa" w:w="1555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56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商品全称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条码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净含量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单件毛重/g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长×宽×高/mm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三件最大值/mm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计划数量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正常朝向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包装材质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易碎等级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□高 □中 □低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储存/隔离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不可受压区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六面图文件名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样品编号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SKU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69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83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  <w:tc>
          <w:tcPr>
            <w:tcW w:type="dxa" w:w="1555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56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商品全称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条码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净含量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单件毛重/g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长×宽×高/mm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三件最大值/mm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计划数量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正常朝向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包装材质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易碎等级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□高 □中 □低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储存/隔离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不可受压区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六面图文件名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样品编号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SKU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69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83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  <w:tc>
          <w:tcPr>
            <w:tcW w:type="dxa" w:w="1555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56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商品全称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条码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净含量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单件毛重/g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长×宽×高/mm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三件最大值/mm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计划数量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正常朝向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包装材质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易碎等级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□高 □中 □低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储存/隔离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不可受压区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469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六面图文件名</w:t>
            </w:r>
          </w:p>
        </w:tc>
        <w:tc>
          <w:tcPr>
            <w:tcW w:type="dxa" w:w="328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  <w:tc>
          <w:tcPr>
            <w:tcW w:type="dxa" w:w="1555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样品编号</w:t>
            </w:r>
          </w:p>
        </w:tc>
        <w:tc>
          <w:tcPr>
            <w:tcW w:type="dxa" w:w="3456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5"/>
              </w:rPr>
              <w:t>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五、品牌资产与图片交付清单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5400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2563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品牌方填写/勾选</w:t>
            </w:r>
          </w:p>
        </w:tc>
      </w:tr>
      <w:tr>
        <w:tc>
          <w:tcPr>
            <w:tcW w:type="dxa" w:w="18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品牌 Logo</w:t>
            </w:r>
          </w:p>
        </w:tc>
        <w:tc>
          <w:tcPr>
            <w:tcW w:type="dxa" w:w="54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AI/SVG/PDF 矢量文件；最小尺寸、保护区、禁用规范</w:t>
            </w:r>
          </w:p>
        </w:tc>
        <w:tc>
          <w:tcPr>
            <w:tcW w:type="dxa" w:w="256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□已附  文件名：____________</w:t>
            </w:r>
          </w:p>
        </w:tc>
      </w:tr>
      <w:tr>
        <w:tc>
          <w:tcPr>
            <w:tcW w:type="dxa" w:w="18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品牌色与字体</w:t>
            </w:r>
          </w:p>
        </w:tc>
        <w:tc>
          <w:tcPr>
            <w:tcW w:type="dxa" w:w="54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CMYK/RGB/Pantone；字体名称及可用许可</w:t>
            </w:r>
          </w:p>
        </w:tc>
        <w:tc>
          <w:tcPr>
            <w:tcW w:type="dxa" w:w="256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□已附  □无指定</w:t>
            </w:r>
          </w:p>
        </w:tc>
      </w:tr>
      <w:tr>
        <w:tc>
          <w:tcPr>
            <w:tcW w:type="dxa" w:w="18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商品图片</w:t>
            </w:r>
          </w:p>
        </w:tc>
        <w:tc>
          <w:tcPr>
            <w:tcW w:type="dxa" w:w="54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六面图、透明底图、场景图；标注摄影/版权归属</w:t>
            </w:r>
          </w:p>
        </w:tc>
        <w:tc>
          <w:tcPr>
            <w:tcW w:type="dxa" w:w="256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□已附  共____张</w:t>
            </w:r>
          </w:p>
        </w:tc>
      </w:tr>
      <w:tr>
        <w:tc>
          <w:tcPr>
            <w:tcW w:type="dxa" w:w="18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法定文案</w:t>
            </w:r>
          </w:p>
        </w:tc>
        <w:tc>
          <w:tcPr>
            <w:tcW w:type="dxa" w:w="54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品名、配料、过敏原、净含量、储存、生产者、许可/标准</w:t>
            </w:r>
          </w:p>
        </w:tc>
        <w:tc>
          <w:tcPr>
            <w:tcW w:type="dxa" w:w="256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□已附  □需最终审核</w:t>
            </w:r>
          </w:p>
        </w:tc>
      </w:tr>
      <w:tr>
        <w:tc>
          <w:tcPr>
            <w:tcW w:type="dxa" w:w="18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样品</w:t>
            </w:r>
          </w:p>
        </w:tc>
        <w:tc>
          <w:tcPr>
            <w:tcW w:type="dxa" w:w="54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每个 SKU 建议 3 件，标注批次；供测量与试装</w:t>
            </w:r>
          </w:p>
        </w:tc>
        <w:tc>
          <w:tcPr>
            <w:tcW w:type="dxa" w:w="256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□可提供  □不可提供</w:t>
            </w:r>
          </w:p>
        </w:tc>
      </w:tr>
      <w:tr>
        <w:tc>
          <w:tcPr>
            <w:tcW w:type="dxa" w:w="18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审核联系人</w:t>
            </w:r>
          </w:p>
        </w:tc>
        <w:tc>
          <w:tcPr>
            <w:tcW w:type="dxa" w:w="5400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姓名、职务、手机/邮箱；能确认品牌与标签资料</w:t>
            </w:r>
          </w:p>
        </w:tc>
        <w:tc>
          <w:tcPr>
            <w:tcW w:type="dxa" w:w="2563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  <w:shd w:fill="F4F0EA"/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________________________</w:t>
            </w:r>
          </w:p>
        </w:tc>
      </w:tr>
    </w:tbl>
    <w:p>
      <w:pPr>
        <w:pStyle w:val="Heading1"/>
        <w:keepNext/>
      </w:pPr>
      <w:r>
        <w:t>六、拟申请的有限授权范围</w:t>
      </w:r>
    </w:p>
    <w:p>
      <w:pPr>
        <w:spacing w:after="100" w:line="269" w:lineRule="auto"/>
      </w:pPr>
      <w:r>
        <w:t>若品牌方同意，请在下一页明确授权主体、素材清单、期限和发布边界。建议的最小范围为：允许申请方在 2026“和氏璧杯”参赛文件、现场/线上评审展示和答辩 PPT 中使用指定的邯宝坊名称、Logo、商品名称、商品图片和经确认的标签信息；允许为参赛目的制作不销售的包装样机；不包含商品生产、销售、广告代言、商标注册、再授权或对品牌方构成合作/获奖背书。</w:t>
      </w:r>
    </w:p>
    <w:p>
      <w:pPr>
        <w:pStyle w:val="ListBullet"/>
        <w:spacing w:after="40"/>
      </w:pPr>
      <w:r>
        <w:t>公开作品集、社交媒体和展览是否允许，应由品牌方单独勾选；未勾选视为不允许。</w:t>
      </w:r>
    </w:p>
    <w:p>
      <w:pPr>
        <w:pStyle w:val="ListBullet"/>
        <w:spacing w:after="40"/>
      </w:pPr>
      <w:r>
        <w:t>品牌方保留对最终品牌呈现、商品事实和法定食品文案的审核权；结构创意和参赛作品著作权按赛事规则及作者实际权属处理。</w:t>
      </w:r>
    </w:p>
    <w:p>
      <w:pPr>
        <w:pStyle w:val="ListBullet"/>
        <w:spacing w:after="40"/>
      </w:pPr>
      <w:r>
        <w:t>商品停产、换包装或资料变更时，品牌方应提示申请方停止使用旧素材；申请方不据此宣称官方联名、推荐或量产。</w:t>
      </w:r>
    </w:p>
    <w:p>
      <w:r>
        <w:br w:type="page"/>
      </w:r>
    </w:p>
    <w:p>
      <w:pPr>
        <w:pStyle w:val="Heading1"/>
        <w:keepNext/>
      </w:pPr>
      <w:r>
        <w:t>七、品牌方授权确认（须由有权代表填写）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5112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签署提示</w:t>
            </w:r>
          </w:p>
        </w:tc>
        <w:tc>
          <w:tcPr>
            <w:tcW w:type="dxa" w:w="5112"/>
            <w:vAlign w:val="center"/>
            <w:shd w:fill="F4F0EA"/>
            <w:tcBorders>
              <w:top w:val="single" w:sz="5" w:color="B9924A"/>
              <w:left w:val="single" w:sz="5" w:color="B9924A"/>
              <w:bottom w:val="single" w:sz="5" w:color="B9924A"/>
              <w:right w:val="single" w:sz="5" w:color="B9924A"/>
              <w:insideH w:val="single" w:sz="5" w:color="B9924A"/>
              <w:insideV w:val="single" w:sz="5" w:color="B9924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本页空白时视为未授权。电子回传件应包含签署人、日期与公章/合同章；若使用电子签章，请附可验证文件。</w:t>
            </w:r>
          </w:p>
        </w:tc>
      </w:tr>
    </w:tbl>
    <w:p>
      <w:pPr>
        <w:spacing w:after="100" w:line="269" w:lineRule="auto"/>
      </w:pPr>
      <w:r>
        <w:t>授权方全称：________________________________________________________</w:t>
      </w:r>
    </w:p>
    <w:p>
      <w:pPr>
        <w:spacing w:after="100" w:line="269" w:lineRule="auto"/>
      </w:pPr>
      <w:r>
        <w:t>统一社会信用代码：__________________________________________________</w:t>
      </w:r>
    </w:p>
    <w:p>
      <w:pPr>
        <w:spacing w:after="100" w:line="269" w:lineRule="auto"/>
      </w:pPr>
      <w:r>
        <w:t>权利基础：□商标权人  □著作权人  □合法被许可人  □其他：____________</w:t>
      </w:r>
    </w:p>
    <w:p>
      <w:pPr>
        <w:spacing w:after="100" w:line="269" w:lineRule="auto"/>
      </w:pPr>
      <w:r>
        <w:t>经办人/职务：________________________  联系方式：____________________</w:t>
      </w:r>
    </w:p>
    <w:p>
      <w:pPr>
        <w:spacing w:after="100" w:line="269" w:lineRule="auto"/>
      </w:pPr>
      <w:r>
        <w:t>授权素材清单（请写文件名或附件编号）：</w:t>
      </w:r>
    </w:p>
    <w:p>
      <w:pPr>
        <w:spacing w:after="100" w:line="269" w:lineRule="auto"/>
      </w:pPr>
      <w:r>
        <w:t>____________________________________________________________________</w:t>
      </w:r>
    </w:p>
    <w:p>
      <w:pPr>
        <w:spacing w:after="100" w:line="269" w:lineRule="auto"/>
      </w:pPr>
      <w:r>
        <w:t>授权用途（可多选）：</w:t>
      </w:r>
    </w:p>
    <w:p>
      <w:pPr>
        <w:spacing w:after="100" w:line="269" w:lineRule="auto"/>
      </w:pPr>
      <w:r>
        <w:t>□赛事投稿文件  □线上/现场评审  □答辩 PPT  □不销售样机制作</w:t>
      </w:r>
    </w:p>
    <w:p>
      <w:pPr>
        <w:spacing w:after="100" w:line="269" w:lineRule="auto"/>
      </w:pPr>
      <w:r>
        <w:t>□赛后作品集（仅展示设计）  □社交媒体展示  □展览  □其他：____________</w:t>
      </w:r>
    </w:p>
    <w:p>
      <w:pPr>
        <w:spacing w:after="100" w:line="269" w:lineRule="auto"/>
      </w:pPr>
      <w:r>
        <w:t>授权地域：__________________  授权期限：自________至________</w:t>
      </w:r>
    </w:p>
    <w:p>
      <w:pPr>
        <w:spacing w:after="100" w:line="269" w:lineRule="auto"/>
      </w:pPr>
      <w:r>
        <w:t>审核要求：□使用前逐稿确认  □仅核对事实/标签  □按所附规范使用即可</w:t>
      </w:r>
    </w:p>
    <w:p>
      <w:pPr>
        <w:spacing w:after="100" w:line="269" w:lineRule="auto"/>
      </w:pPr>
      <w:r>
        <w:t>其他限制：__________________________________________________________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24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授权方签署</w:t>
            </w:r>
          </w:p>
        </w:tc>
        <w:tc>
          <w:tcPr>
            <w:tcW w:type="dxa" w:w="4824"/>
            <w:vAlign w:val="center"/>
            <w:shd w:fill="6E1F2A"/>
            <w:tcBorders>
              <w:top w:val="single" w:sz="5" w:color="6E1F2A"/>
              <w:left w:val="single" w:sz="5" w:color="6E1F2A"/>
              <w:bottom w:val="single" w:sz="5" w:color="6E1F2A"/>
              <w:right w:val="single" w:sz="5" w:color="6E1F2A"/>
              <w:insideH w:val="single" w:sz="5" w:color="6E1F2A"/>
              <w:insideV w:val="single" w:sz="5" w:color="6E1F2A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申请方确认</w:t>
            </w:r>
          </w:p>
        </w:tc>
      </w:tr>
      <w:tr>
        <w:tc>
          <w:tcPr>
            <w:tcW w:type="dxa" w:w="482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有权代表签字：________________</w:t>
              <w:br/>
              <w:br/>
              <w:t>公章/合同章：</w:t>
              <w:br/>
              <w:br/>
              <w:t>日期：______年____月____日</w:t>
            </w:r>
          </w:p>
        </w:tc>
        <w:tc>
          <w:tcPr>
            <w:tcW w:type="dxa" w:w="4824"/>
            <w:vAlign w:val="center"/>
            <w:tcBorders>
              <w:top w:val="single" w:sz="5" w:color="DDD5CB"/>
              <w:left w:val="single" w:sz="5" w:color="DDD5CB"/>
              <w:bottom w:val="single" w:sz="5" w:color="DDD5CB"/>
              <w:right w:val="single" w:sz="5" w:color="DDD5CB"/>
              <w:insideH w:val="single" w:sz="5" w:color="DDD5CB"/>
              <w:insideV w:val="single" w:sz="5" w:color="DDD5CB"/>
            </w:tcBorders>
          </w:tcPr>
          <w:p>
            <w:pPr>
              <w:spacing w:after="0" w:before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申请人签字：________________</w:t>
              <w:br/>
              <w:br/>
              <w:t>院校/单位（如适用）：____________</w:t>
              <w:br/>
              <w:br/>
              <w:t>日期：______年____月____日</w:t>
            </w:r>
          </w:p>
        </w:tc>
      </w:tr>
    </w:tbl>
    <w:p>
      <w:pPr>
        <w:pStyle w:val="Heading1"/>
        <w:keepNext/>
      </w:pPr>
      <w:r>
        <w:t>附件建议</w:t>
      </w:r>
    </w:p>
    <w:p>
      <w:pPr>
        <w:pStyle w:val="ListBullet"/>
        <w:spacing w:after="40"/>
      </w:pPr>
      <w:r>
        <w:t>A1：《解围》6 张 A4 设计展板（现阶段商品为中性占位，供理解结构，不作品牌终稿）。</w:t>
      </w:r>
    </w:p>
    <w:p>
      <w:pPr>
        <w:pStyle w:val="ListBullet"/>
        <w:spacing w:after="40"/>
      </w:pPr>
      <w:r>
        <w:t>A2：闭合、解锁、开启三状态 CAD/STEP 预览及刀模说明。</w:t>
      </w:r>
    </w:p>
    <w:p>
      <w:pPr>
        <w:pStyle w:val="ListBullet"/>
        <w:spacing w:after="40"/>
      </w:pPr>
      <w:r>
        <w:t>A3：《邯宝坊商品公开证据档案》与商品证据 CSV。</w:t>
      </w:r>
    </w:p>
    <w:p>
      <w:pPr>
        <w:pStyle w:val="ListBullet"/>
        <w:spacing w:after="40"/>
      </w:pPr>
      <w:r>
        <w:t>A4：品牌方回填的 SKU 表、六面照片、标签文案、素材清单和样品交接记录。</w:t>
      </w:r>
    </w:p>
    <w:p>
      <w:pPr>
        <w:spacing w:after="100" w:line="269" w:lineRule="auto"/>
      </w:pPr>
      <w:r>
        <w:t>资料接收后，设计方预计在 3—5 个工作日内完成参数重算和数字样机更新；实物白样、满载开合与跌落/振动测试时间另计。该时限是项目计划，不是赛事或品牌方承诺。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5"/>
      </w:rPr>
      <w:t>2026“和氏璧杯” · 《解围》资料协调文件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 Unicode MS" w:hAnsi="Arial Unicode MS" w:eastAsia="Arial Unicode M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E1F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B3B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