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left"/>
      </w:pPr>
      <w:r>
        <w:rPr>
          <w:b/>
          <w:color w:val="0288D1"/>
          <w:sz w:val="24"/>
        </w:rPr>
        <w:t>竞品情报 · 管理层精简版</w:t>
      </w:r>
    </w:p>
    <w:p>
      <w:pPr>
        <w:spacing w:before="280" w:after="160"/>
      </w:pPr>
      <w:r>
        <w:rPr>
          <w:b/>
          <w:color w:val="1A237E"/>
          <w:sz w:val="56"/>
        </w:rPr>
        <w:t>2026年上半年</w:t>
        <w:br/>
        <w:t>汽车零部件竞品分析</w:t>
      </w:r>
    </w:p>
    <w:p>
      <w:pPr>
        <w:spacing w:after="440"/>
      </w:pPr>
      <w:r>
        <w:rPr>
          <w:color w:val="616161"/>
          <w:sz w:val="26"/>
        </w:rPr>
        <w:t>重点回答：竞品变化对欧摩威意味着什么，以及我们下一步做什么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84"/>
      </w:tblGrid>
      <w:tr>
        <w:trPr>
          <w:cantSplit/>
        </w:trPr>
        <w:tc>
          <w:tcPr>
            <w:tcW w:type="dxa" w:w="5100"/>
            <w:shd w:fill="0288D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2"/>
              </w:rPr>
            </w:r>
          </w:p>
        </w:tc>
        <w:tc>
          <w:tcPr>
            <w:tcW w:type="dxa" w:w="5100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b/>
                <w:color w:val="1A237E"/>
                <w:sz w:val="20"/>
              </w:rPr>
              <w:t>一句话结论</w:t>
            </w:r>
          </w:p>
          <w:p>
            <w:pPr>
              <w:spacing w:after="0"/>
            </w:pPr>
            <w:r>
              <w:rPr>
                <w:color w:val="263238"/>
                <w:sz w:val="19"/>
              </w:rPr>
              <w:t>竞争重点正在从“有没有线控产品”转向“谁先量产、谁先拿到平台、谁能守住利润”。欧摩威需要把线控底盘的客户卡位、成本竞争力和本地化交付放在同一张行动表上。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A237E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覆盖公司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A237E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报告期间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A237E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拓普、华域、立讯、保隆、伯特利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2026年上半年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内部管理决策参考</w:t>
            </w:r>
          </w:p>
        </w:tc>
      </w:tr>
    </w:tbl>
    <w:p>
      <w:pPr>
        <w:spacing w:after="0"/>
      </w:pPr>
    </w:p>
    <w:p>
      <w:r>
        <w:rPr>
          <w:color w:val="616161"/>
          <w:sz w:val="17"/>
        </w:rPr>
        <w:t>数据依据：五家公司2026年半年度报告；个别研报或计算口径已单独标注。</w:t>
      </w:r>
    </w:p>
    <w:p>
      <w:r>
        <w:br w:type="page"/>
      </w:r>
    </w:p>
    <w:p>
      <w:pPr>
        <w:pStyle w:val="Heading1"/>
      </w:pPr>
      <w:r>
        <w:t>1. 管理层先看这三件事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A237E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本期信号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A237E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对欧摩威的影响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A237E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建议动作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线控底盘进入量产抢位期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伯特利全干式EMB量产，华域线控转向量产并推进EMB。竞争已从技术展示转向平台落地。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立即复盘重点客户与平台覆盖；把“量产时间、定点状态、成本差距”作为月度跟踪项。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增长不等于盈利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华域电子电器件收入增长，但毛利率仅8.07%；伯特利则实现利润增速快于收入。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新项目报价同时设置毛利底线与爬坡复盘点；避免只用收入或定点数量评价项目质量。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国内客户与海外产能同步重排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华域新订单向新能源和自主品牌集中；拓普海外收入增速快于国内，并继续推进海外产能。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中国市场加快自主品牌渗透；海外项目按客户需求、利用率和投资回报分阶段决策。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84"/>
      </w:tblGrid>
      <w:tr>
        <w:trPr>
          <w:cantSplit/>
        </w:trPr>
        <w:tc>
          <w:tcPr>
            <w:tcW w:type="dxa" w:w="5100"/>
            <w:shd w:fill="F5A6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2"/>
              </w:rPr>
            </w:r>
          </w:p>
        </w:tc>
        <w:tc>
          <w:tcPr>
            <w:tcW w:type="dxa" w:w="5100"/>
            <w:shd w:fill="FFF4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b/>
                <w:color w:val="1A237E"/>
                <w:sz w:val="20"/>
              </w:rPr>
              <w:t>管理层判断</w:t>
            </w:r>
          </w:p>
          <w:p>
            <w:pPr>
              <w:spacing w:after="0"/>
            </w:pPr>
            <w:r>
              <w:rPr>
                <w:color w:val="263238"/>
                <w:sz w:val="19"/>
              </w:rPr>
              <w:t>短期最需要防守的是线控底盘客户卡位，中期需要验证机器人执行器是否真正形成第二增长曲线。当前公开数据不足以判断窗口期还有多久，不建议给出主观倒计时。</w:t>
            </w:r>
          </w:p>
        </w:tc>
      </w:tr>
    </w:tbl>
    <w:p>
      <w:pPr>
        <w:spacing w:after="0"/>
      </w:pPr>
    </w:p>
    <w:p>
      <w:pPr>
        <w:pStyle w:val="Heading1"/>
      </w:pPr>
      <w:r>
        <w:t>2. 黄色重点：压缩成“事实 - 影响 - 动作”</w:t>
      </w:r>
    </w:p>
    <w:p>
      <w:pPr>
        <w:pStyle w:val="Heading2"/>
      </w:pPr>
      <w:r>
        <w:t>拓普海外增长</w:t>
      </w:r>
    </w:p>
    <w:p>
      <w:pPr>
        <w:pStyle w:val="ListBullet"/>
        <w:spacing w:after="60"/>
      </w:pPr>
      <w:r>
        <w:rPr>
          <w:b/>
        </w:rPr>
        <w:t>事实：</w:t>
      </w:r>
      <w:r>
        <w:t>海外收入33.25亿元，同比增长14.41%，快于国内的7.2%；泰国部分投产，墨西哥和波兰仍处筹划或设计阶段。（拓普半年报第8-9页）</w:t>
      </w:r>
    </w:p>
    <w:p>
      <w:pPr>
        <w:pStyle w:val="ListBullet"/>
        <w:spacing w:after="60"/>
      </w:pPr>
      <w:r>
        <w:rPr>
          <w:b/>
        </w:rPr>
        <w:t>影响：</w:t>
      </w:r>
      <w:r>
        <w:t>海外本地化交付能力正在增强，可能提升其获取全球项目的竞争力。但各基地进度不同，不宜把规划等同于产能。</w:t>
      </w:r>
    </w:p>
    <w:p>
      <w:pPr>
        <w:pStyle w:val="ListBullet"/>
        <w:spacing w:after="60"/>
      </w:pPr>
      <w:r>
        <w:rPr>
          <w:b/>
        </w:rPr>
        <w:t>动作：</w:t>
      </w:r>
      <w:r>
        <w:t>建立竞品海外产能台账，按“规划、建设、投产、客户导入、利用率”五个阶段跟踪；欧摩威自身项目优先公布可交付节点，而非只讲布局。</w:t>
      </w:r>
    </w:p>
    <w:p>
      <w:pPr>
        <w:pStyle w:val="Heading2"/>
      </w:pPr>
      <w:r>
        <w:t>华域线控底盘推进</w:t>
      </w:r>
    </w:p>
    <w:p>
      <w:pPr>
        <w:pStyle w:val="ListBullet"/>
        <w:spacing w:after="60"/>
      </w:pPr>
      <w:r>
        <w:rPr>
          <w:b/>
        </w:rPr>
        <w:t>事实：</w:t>
      </w:r>
      <w:r>
        <w:t>线控转向在智己、小鹏首发量产，后轮转向完成设计，EMB首件下线；六活塞制动钳已量产并获得多个项目定点。（华域半年报第9页）</w:t>
      </w:r>
    </w:p>
    <w:p>
      <w:pPr>
        <w:pStyle w:val="ListBullet"/>
        <w:spacing w:after="60"/>
      </w:pPr>
      <w:r>
        <w:rPr>
          <w:b/>
        </w:rPr>
        <w:t>影响：</w:t>
      </w:r>
      <w:r>
        <w:t>华域正依靠本地客户关系把技术快速装车，可能压缩欧摩威在自主品牌中的导入窗口。</w:t>
      </w:r>
    </w:p>
    <w:p>
      <w:pPr>
        <w:pStyle w:val="ListBullet"/>
        <w:spacing w:after="60"/>
      </w:pPr>
      <w:r>
        <w:rPr>
          <w:b/>
        </w:rPr>
        <w:t>动作：</w:t>
      </w:r>
      <w:r>
        <w:t>逐一核对重点自主品牌的线控转向、EMB和集成制动项目；对未锁定平台明确技术样件、报价和定点节点。</w:t>
      </w:r>
    </w:p>
    <w:p>
      <w:pPr>
        <w:pStyle w:val="Heading2"/>
      </w:pPr>
      <w:r>
        <w:t>立讯利润口径</w:t>
      </w:r>
    </w:p>
    <w:p>
      <w:pPr>
        <w:pStyle w:val="ListBullet"/>
        <w:spacing w:after="60"/>
      </w:pPr>
      <w:r>
        <w:rPr>
          <w:b/>
        </w:rPr>
        <w:t>事实：</w:t>
      </w:r>
      <w:r>
        <w:t>归母净利增长18.04%，扣非净利增长6.47%，差异与汇兑损益及外汇避险列报有关。（立讯半年报第10页）</w:t>
      </w:r>
    </w:p>
    <w:p>
      <w:pPr>
        <w:pStyle w:val="ListBullet"/>
        <w:spacing w:after="60"/>
      </w:pPr>
      <w:r>
        <w:rPr>
          <w:b/>
        </w:rPr>
        <w:t>影响：</w:t>
      </w:r>
      <w:r>
        <w:t>表观利润增速不能直接代表汽车业务竞争力，若作为对标会高估其经营改善。</w:t>
      </w:r>
    </w:p>
    <w:p>
      <w:pPr>
        <w:pStyle w:val="ListBullet"/>
        <w:spacing w:after="60"/>
      </w:pPr>
      <w:r>
        <w:rPr>
          <w:b/>
        </w:rPr>
        <w:t>动作：</w:t>
      </w:r>
      <w:r>
        <w:t>竞品看板统一采用扣非口径，并把并表、汇兑和一次性收益单列。</w:t>
      </w:r>
    </w:p>
    <w:p>
      <w:pPr>
        <w:pStyle w:val="Heading2"/>
      </w:pPr>
      <w:r>
        <w:t>保隆一次性收益</w:t>
      </w:r>
    </w:p>
    <w:p>
      <w:pPr>
        <w:pStyle w:val="ListBullet"/>
        <w:spacing w:after="60"/>
      </w:pPr>
      <w:r>
        <w:rPr>
          <w:b/>
        </w:rPr>
        <w:t>事实：</w:t>
      </w:r>
      <w:r>
        <w:t>净利增长95.79%包含参股公司上市产生的公允价值变动收益。（保隆半年报第14页）</w:t>
      </w:r>
    </w:p>
    <w:p>
      <w:pPr>
        <w:pStyle w:val="ListBullet"/>
        <w:spacing w:after="60"/>
      </w:pPr>
      <w:r>
        <w:rPr>
          <w:b/>
        </w:rPr>
        <w:t>影响：</w:t>
      </w:r>
      <w:r>
        <w:t>利润跳升不等于主营竞争力跃升；更值得关注的是境内收入占比升至61.02%。</w:t>
      </w:r>
    </w:p>
    <w:p>
      <w:pPr>
        <w:pStyle w:val="ListBullet"/>
        <w:spacing w:after="60"/>
      </w:pPr>
      <w:r>
        <w:rPr>
          <w:b/>
        </w:rPr>
        <w:t>动作：</w:t>
      </w:r>
      <w:r>
        <w:t>对保隆重点跟踪智能悬架、ADAS项目量产和国内客户渗透，不以表观净利增长触发过度反应。</w:t>
      </w:r>
    </w:p>
    <w:p>
      <w:pPr>
        <w:pStyle w:val="Heading2"/>
      </w:pPr>
      <w:r>
        <w:t>伯特利并购与EMB</w:t>
      </w:r>
    </w:p>
    <w:p>
      <w:pPr>
        <w:pStyle w:val="ListBullet"/>
        <w:spacing w:after="60"/>
      </w:pPr>
      <w:r>
        <w:rPr>
          <w:b/>
        </w:rPr>
        <w:t>事实：</w:t>
      </w:r>
      <w:r>
        <w:t>伯特利以11.21亿元收购豫北转向50.97%股权，补齐转向业务；同时披露全干式EMB量产及ASIL-D认证。（伯特利半年报第11、14、19页）</w:t>
      </w:r>
    </w:p>
    <w:p>
      <w:pPr>
        <w:pStyle w:val="ListBullet"/>
        <w:spacing w:after="60"/>
      </w:pPr>
      <w:r>
        <w:rPr>
          <w:b/>
        </w:rPr>
        <w:t>影响：</w:t>
      </w:r>
      <w:r>
        <w:t>其产品组合从制动向“制动+转向+悬架”延伸，具备打包进入整车平台的条件，是当前最直接的线控底盘竞争信号。</w:t>
      </w:r>
    </w:p>
    <w:p>
      <w:pPr>
        <w:pStyle w:val="ListBullet"/>
        <w:spacing w:after="60"/>
      </w:pPr>
      <w:r>
        <w:rPr>
          <w:b/>
        </w:rPr>
        <w:t>动作：</w:t>
      </w:r>
      <w:r>
        <w:t>将伯特利列为高优先级对手，针对重叠客户比较产品覆盖、单车价值、量产成熟度与价格；欧摩威内部同步评估组合销售方案。</w:t>
      </w:r>
    </w:p>
    <w:p>
      <w:pPr>
        <w:pStyle w:val="Heading1"/>
      </w:pPr>
      <w:r>
        <w:t>3. 五家公司：只保留与决策有关的信息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A237E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公司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A237E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关键变化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A237E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对欧摩威的含义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A237E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建议关注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拓普集团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机器人执行器首次单列，收入0.14亿元、毛利率27.03%；汽车电子收入增速仅3.08%；海外收入增长较快。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机器人尚小，但高毛利与独立披露说明其战略优先级上升；汽车电子“全面量产”与低增速存在落差。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线控/电子业务持续验证真实放量；机器人暂做中期跟踪，不因高增速提前判断规模化。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华域汽车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新能源订单占78%，自主品牌占68%；线控转向量产，EMB首件下线；电子电器件毛利率8.07%。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本地客户卡位强，但电子业务盈利承压。对欧摩威既是客户覆盖威胁，也是定价纪律的警示。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优先守住自主品牌项目；对低毛利项目设置退出或重报价条件。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立讯精密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汽车电子收入占比升至18.56%，但主要受Leoni并表影响；汽车电子毛利率14.14%。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规模跃升真实，但内生增速未知，暂不能据此判断其抢单速度。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待可比口径形成后再重估；当前重点观察客户协同和整合后的报价能力。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保隆科技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境内收入占比升至61.02%；增长主要来自智能悬架、ADAS新项目量产；净利增长含一次性收益。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国内客户渗透加快，是其比利润增速更重要的竞争信号。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跟踪空气悬架和ADAS量产项目，评估与欧摩威重叠客户及价格带。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伯特利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并购豫北转向；全干式EMB量产；H1智能电控销量增长39.05%；Q2利润增速快于收入。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线控产品、盈利和并购整合同时推进，竞争信号最完整。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建立专项战情表，按客户、平台、产品、价格、SOP和认证状态逐项对标。</w:t>
            </w:r>
          </w:p>
        </w:tc>
      </w:tr>
    </w:tbl>
    <w:p>
      <w:pPr>
        <w:spacing w:after="0"/>
      </w:pPr>
    </w:p>
    <w:p>
      <w:pPr>
        <w:pStyle w:val="Heading1"/>
      </w:pPr>
      <w:r>
        <w:t>4. 建议的90天行动清单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A237E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A237E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行动主题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A237E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具体动作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A237E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P0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线控底盘客户卡位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列出欧摩威与伯特利、华域重叠的自主品牌和平台，标明定点、样件、报价、SOP状态。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形成一张可更新的竞争战情表。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P0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项目盈利复盘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对中国区新增电子/线控项目同时看收入、毛利、爬坡成本和现金占用。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识别“增量不增利”项目并制定纠偏措施。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P1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本地化价值主张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把全球技术、功能安全、系统集成与中国本地交付组合成客户话术。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从单产品参数比较转向系统价值比较。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P1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海外产能对标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按阶段核验拓普、伯特利海外基地进度及客户导入。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避免把规划误判为已形成交付能力。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P2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机器人机会评估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仅在内部技术、客户需求和盈利模型三项均有证据时升级优先级。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保持观察，不被竞品叙事带节奏。</w:t>
            </w:r>
          </w:p>
        </w:tc>
      </w:tr>
    </w:tbl>
    <w:p>
      <w:pPr>
        <w:spacing w:after="0"/>
      </w:pPr>
    </w:p>
    <w:p>
      <w:pPr>
        <w:pStyle w:val="Heading1"/>
      </w:pPr>
      <w:r>
        <w:t>5. 下季度只跟踪这些触发点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A237E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公司</w:t>
            </w:r>
          </w:p>
        </w:tc>
        <w:tc>
          <w:tcPr>
            <w:tcW w:type="dxa" w:w="77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A237E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拓普</w:t>
            </w:r>
          </w:p>
        </w:tc>
        <w:tc>
          <w:tcPr>
            <w:tcW w:type="dxa" w:w="77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机器人执行器收入是否显著放大；汽车电子增速是否改善；海外基地是否从规划转为投产。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华域</w:t>
            </w:r>
          </w:p>
        </w:tc>
        <w:tc>
          <w:tcPr>
            <w:tcW w:type="dxa" w:w="77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线控转向量产爬坡；EMB从首件下线走向定点或量产；新能源/自主品牌订单向收入兑现。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立讯</w:t>
            </w:r>
          </w:p>
        </w:tc>
        <w:tc>
          <w:tcPr>
            <w:tcW w:type="dxa" w:w="77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剔除Leoni并表后的汽车电子内生增速；扣非利润变化。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保隆</w:t>
            </w:r>
          </w:p>
        </w:tc>
        <w:tc>
          <w:tcPr>
            <w:tcW w:type="dxa" w:w="77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境内收入占比能否稳定在60%以上；智能悬架和ADAS量产贡献。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伯特利</w:t>
            </w:r>
          </w:p>
        </w:tc>
        <w:tc>
          <w:tcPr>
            <w:tcW w:type="dxa" w:w="77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EMB收入是否单独显性化；豫北转向并表与内生增长拆分；商誉和整合进展。</w:t>
            </w:r>
          </w:p>
        </w:tc>
      </w:tr>
    </w:tbl>
    <w:p>
      <w:pPr>
        <w:spacing w:after="0"/>
      </w:pPr>
    </w:p>
    <w:p>
      <w:pPr>
        <w:pStyle w:val="Heading1"/>
      </w:pPr>
      <w:r>
        <w:t>6. 口径说明</w:t>
      </w:r>
    </w:p>
    <w:p>
      <w:pPr>
        <w:pStyle w:val="ListBullet"/>
        <w:spacing w:after="60"/>
      </w:pPr>
      <w:r>
        <w:t>立讯汽车电子增速受Leoni并表影响，不能与其他公司内生增速直接比较。</w:t>
      </w:r>
    </w:p>
    <w:p>
      <w:pPr>
        <w:pStyle w:val="ListBullet"/>
        <w:spacing w:after="60"/>
      </w:pPr>
      <w:r>
        <w:t>保隆净利包含一次性公允价值变动收益，主营判断优先看扣非及业务结构。</w:t>
      </w:r>
    </w:p>
    <w:p>
      <w:pPr>
        <w:pStyle w:val="ListBullet"/>
        <w:spacing w:after="60"/>
      </w:pPr>
      <w:r>
        <w:t>伯特利Q2拆分、EMB产能等部分数据来自研报或计算口径，正式定量比较前需等待公司披露。</w:t>
      </w:r>
    </w:p>
    <w:p>
      <w:pPr>
        <w:pStyle w:val="ListBullet"/>
        <w:spacing w:after="60"/>
      </w:pPr>
      <w:r>
        <w:t>本报告基于公开财报信息，不替代欧摩威内部客户、技术与成本数据。建议动作均为管理建议，需要内部负责人验证。</w:t>
      </w:r>
    </w:p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6161"/>
        <w:sz w:val="16"/>
      </w:rPr>
      <w:t>Internal | 2026 H1 Competitive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288D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23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Liang, Shiyi</dc:creator>
  <keywords/>
  <dc:description>generated by python-docx</dc:description>
  <lastModifiedBy>Liang, Shiyi</lastModifiedBy>
  <revision>1</revision>
  <dcterms:created xsi:type="dcterms:W3CDTF">2026-09-04T09:14:57.0752329Z</dcterms:created>
  <dcterms:modified xsi:type="dcterms:W3CDTF">2026-09-04T09:14:57.0752329Z</dcterms:modified>
  <category/>
</coreProperties>
</file>