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45245" w14:textId="1444F70D" w:rsidR="003C7E30" w:rsidRPr="003241E8" w:rsidRDefault="003C7E30" w:rsidP="00B33F28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41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Awakening the Enemy or Silencing Them Forever: </w:t>
      </w:r>
      <w:r w:rsidR="00675CEF" w:rsidRPr="003241E8">
        <w:rPr>
          <w:rFonts w:ascii="Times New Roman" w:hAnsi="Times New Roman" w:cs="Times New Roman"/>
          <w:b/>
          <w:bCs/>
          <w:sz w:val="28"/>
          <w:szCs w:val="28"/>
          <w:lang w:val="en-US"/>
        </w:rPr>
        <w:t>Innovative</w:t>
      </w:r>
      <w:r w:rsidR="000E0592" w:rsidRPr="003241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241E8">
        <w:rPr>
          <w:rFonts w:ascii="Times New Roman" w:hAnsi="Times New Roman" w:cs="Times New Roman"/>
          <w:b/>
          <w:bCs/>
          <w:sz w:val="28"/>
          <w:szCs w:val="28"/>
          <w:lang w:val="en-US"/>
        </w:rPr>
        <w:t>Approaches</w:t>
      </w:r>
      <w:r w:rsidR="003241E8" w:rsidRPr="003241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241E8">
        <w:rPr>
          <w:rFonts w:ascii="Times New Roman" w:hAnsi="Times New Roman" w:cs="Times New Roman"/>
          <w:b/>
          <w:bCs/>
          <w:sz w:val="28"/>
          <w:szCs w:val="28"/>
          <w:lang w:val="en-US"/>
        </w:rPr>
        <w:t>to Combat Dormant Cancer Cells and Prevent Metastatic Relapse</w:t>
      </w:r>
    </w:p>
    <w:p w14:paraId="7700455D" w14:textId="08B77297" w:rsidR="00DC7630" w:rsidRPr="00F8372C" w:rsidRDefault="00DA51E3" w:rsidP="00C63337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bookmarkStart w:id="0" w:name="OLE_LINK1"/>
      <w:r w:rsidRPr="00F8372C">
        <w:rPr>
          <w:rFonts w:ascii="Times New Roman" w:hAnsi="Times New Roman" w:cs="Times New Roman" w:hint="eastAsia"/>
          <w:sz w:val="20"/>
          <w:szCs w:val="20"/>
          <w:lang w:val="en-US"/>
        </w:rPr>
        <w:t>M</w:t>
      </w:r>
      <w:r w:rsidR="00AC0657" w:rsidRPr="00F8372C">
        <w:rPr>
          <w:rFonts w:ascii="Times New Roman" w:hAnsi="Times New Roman" w:cs="Times New Roman" w:hint="eastAsia"/>
          <w:sz w:val="20"/>
          <w:szCs w:val="20"/>
          <w:lang w:val="en-US"/>
        </w:rPr>
        <w:t>eta</w:t>
      </w:r>
      <w:r w:rsidR="00AC0657" w:rsidRPr="00F8372C">
        <w:rPr>
          <w:rFonts w:ascii="Times New Roman" w:hAnsi="Times New Roman" w:cs="Times New Roman"/>
          <w:sz w:val="20"/>
          <w:szCs w:val="20"/>
          <w:lang w:val="en-US"/>
        </w:rPr>
        <w:t>static relapse</w:t>
      </w:r>
      <w:r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8310A9" w:rsidRPr="00F8372C">
        <w:rPr>
          <w:rFonts w:ascii="Times New Roman" w:hAnsi="Times New Roman" w:cs="Times New Roman" w:hint="eastAsia"/>
          <w:sz w:val="20"/>
          <w:szCs w:val="20"/>
          <w:lang w:val="en-US"/>
        </w:rPr>
        <w:t>occur</w:t>
      </w:r>
      <w:r w:rsidR="008310A9" w:rsidRPr="00F8372C">
        <w:rPr>
          <w:rFonts w:ascii="Times New Roman" w:hAnsi="Times New Roman" w:cs="Times New Roman"/>
          <w:sz w:val="20"/>
          <w:szCs w:val="20"/>
          <w:lang w:val="en-US"/>
        </w:rPr>
        <w:t>r</w:t>
      </w:r>
      <w:r w:rsidR="008310A9" w:rsidRPr="00F8372C">
        <w:rPr>
          <w:rFonts w:ascii="Times New Roman" w:hAnsi="Times New Roman" w:cs="Times New Roman" w:hint="eastAsia"/>
          <w:sz w:val="20"/>
          <w:szCs w:val="20"/>
          <w:lang w:val="en-US"/>
        </w:rPr>
        <w:t>ing</w:t>
      </w:r>
      <w:r w:rsidR="005F593F" w:rsidRPr="00F8372C">
        <w:rPr>
          <w:rFonts w:ascii="Times New Roman" w:hAnsi="Times New Roman" w:cs="Times New Roman" w:hint="eastAsia"/>
          <w:sz w:val="20"/>
          <w:szCs w:val="20"/>
          <w:lang w:val="en-US"/>
        </w:rPr>
        <w:t xml:space="preserve"> </w:t>
      </w:r>
      <w:r w:rsidR="005F593F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years </w:t>
      </w:r>
      <w:r w:rsidRPr="00F8372C">
        <w:rPr>
          <w:rFonts w:ascii="Times New Roman" w:hAnsi="Times New Roman" w:cs="Times New Roman"/>
          <w:sz w:val="20"/>
          <w:szCs w:val="20"/>
          <w:lang w:val="en-US"/>
        </w:rPr>
        <w:t>after treatment of the primary tumor</w:t>
      </w:r>
      <w:r w:rsidRPr="00F8372C">
        <w:rPr>
          <w:rFonts w:ascii="Times New Roman" w:hAnsi="Times New Roman" w:cs="Times New Roman" w:hint="eastAsia"/>
          <w:sz w:val="20"/>
          <w:szCs w:val="20"/>
          <w:lang w:val="en-US"/>
        </w:rPr>
        <w:t xml:space="preserve"> </w:t>
      </w:r>
      <w:r w:rsidR="005F593F" w:rsidRPr="00F8372C">
        <w:rPr>
          <w:rFonts w:ascii="Times New Roman" w:hAnsi="Times New Roman" w:cs="Times New Roman"/>
          <w:sz w:val="20"/>
          <w:szCs w:val="20"/>
          <w:lang w:val="en-US"/>
        </w:rPr>
        <w:t>accounts for the majority</w:t>
      </w:r>
      <w:r w:rsidR="00AC0657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of cancer-related deaths</w:t>
      </w:r>
      <w:r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8372C">
        <w:rPr>
          <w:rFonts w:ascii="Times New Roman" w:hAnsi="Times New Roman" w:cs="Times New Roman"/>
          <w:sz w:val="20"/>
          <w:szCs w:val="20"/>
          <w:lang w:val="en-US"/>
        </w:rPr>
        <w:fldChar w:fldCharType="begin"/>
      </w:r>
      <w:r w:rsidR="00A00861" w:rsidRPr="00F8372C">
        <w:rPr>
          <w:rFonts w:ascii="Times New Roman" w:hAnsi="Times New Roman" w:cs="Times New Roman"/>
          <w:sz w:val="20"/>
          <w:szCs w:val="20"/>
          <w:lang w:val="en-US"/>
        </w:rPr>
        <w:instrText xml:space="preserve"> ADDIN EN.CITE &lt;EndNote&gt;&lt;Cite&gt;&lt;Author&gt;Dillekås&lt;/Author&gt;&lt;Year&gt;2019&lt;/Year&gt;&lt;RecNum&gt;1&lt;/RecNum&gt;&lt;DisplayText&gt;(Dillekås et al., 2019)&lt;/DisplayText&gt;&lt;record&gt;&lt;rec-number&gt;1&lt;/rec-number&gt;&lt;foreign-keys&gt;&lt;key app="EN" db-id="vszs2sdzn0wrxnesffnpa5t0srarrpexaffz" timestamp="1743756982"&gt;1&lt;/key&gt;&lt;/foreign-keys&gt;&lt;ref-type name="Journal Article"&gt;17&lt;/ref-type&gt;&lt;contributors&gt;&lt;authors&gt;&lt;author&gt;Dillekås, H.&lt;/author&gt;&lt;author&gt;Rogers, M. S.&lt;/author&gt;&lt;author&gt;Straume, O.&lt;/author&gt;&lt;/authors&gt;&lt;/contributors&gt;&lt;titles&gt;&lt;title&gt;Are 90% of deaths from cancer caused by metastases?&lt;/title&gt;&lt;secondary-title&gt;Cancer Medicine&lt;/secondary-title&gt;&lt;/titles&gt;&lt;periodical&gt;&lt;full-title&gt;Cancer Medicine&lt;/full-title&gt;&lt;/periodical&gt;&lt;pages&gt;5574-5576&lt;/pages&gt;&lt;volume&gt;8&lt;/volume&gt;&lt;number&gt;12&lt;/number&gt;&lt;dates&gt;&lt;year&gt;2019&lt;/year&gt;&lt;pub-dates&gt;&lt;date&gt;Sep&lt;/date&gt;&lt;/pub-dates&gt;&lt;/dates&gt;&lt;isbn&gt;2045-7634&lt;/isbn&gt;&lt;accession-num&gt;WOS:000481126000001&lt;/accession-num&gt;&lt;urls&gt;&lt;related-urls&gt;&lt;url&gt;&amp;lt;Go to ISI&amp;gt;://WOS:000481126000001&lt;/url&gt;&lt;/related-urls&gt;&lt;/urls&gt;&lt;electronic-resource-num&gt;10.1002/cam4.2474&lt;/electronic-resource-num&gt;&lt;/record&gt;&lt;/Cite&gt;&lt;/EndNote&gt;</w:instrText>
      </w:r>
      <w:r w:rsidRPr="00F8372C">
        <w:rPr>
          <w:rFonts w:ascii="Times New Roman" w:hAnsi="Times New Roman" w:cs="Times New Roman"/>
          <w:sz w:val="20"/>
          <w:szCs w:val="20"/>
          <w:lang w:val="en-US"/>
        </w:rPr>
        <w:fldChar w:fldCharType="separate"/>
      </w:r>
      <w:r w:rsidR="00A00861" w:rsidRPr="00F8372C">
        <w:rPr>
          <w:rFonts w:ascii="Times New Roman" w:hAnsi="Times New Roman" w:cs="Times New Roman"/>
          <w:noProof/>
          <w:sz w:val="20"/>
          <w:szCs w:val="20"/>
          <w:lang w:val="en-US"/>
        </w:rPr>
        <w:t>(Dillekås et al., 2019)</w:t>
      </w:r>
      <w:r w:rsidRPr="00F8372C">
        <w:rPr>
          <w:rFonts w:ascii="Times New Roman" w:hAnsi="Times New Roman" w:cs="Times New Roman"/>
          <w:sz w:val="20"/>
          <w:szCs w:val="20"/>
          <w:lang w:val="en-US"/>
        </w:rPr>
        <w:fldChar w:fldCharType="end"/>
      </w:r>
      <w:r w:rsidR="0017264E" w:rsidRPr="00F8372C">
        <w:rPr>
          <w:rFonts w:ascii="Times New Roman" w:hAnsi="Times New Roman" w:cs="Times New Roman"/>
          <w:sz w:val="20"/>
          <w:szCs w:val="20"/>
          <w:lang w:val="en-US"/>
        </w:rPr>
        <w:t>. Th</w:t>
      </w:r>
      <w:r w:rsidR="00DC7630" w:rsidRPr="00F8372C">
        <w:rPr>
          <w:rFonts w:ascii="Times New Roman" w:hAnsi="Times New Roman" w:cs="Times New Roman"/>
          <w:sz w:val="20"/>
          <w:szCs w:val="20"/>
          <w:lang w:val="en-US"/>
        </w:rPr>
        <w:t>is</w:t>
      </w:r>
      <w:r w:rsidR="0017264E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late recurrence is largely driven by the reactivation of d</w:t>
      </w:r>
      <w:r w:rsidR="005F593F" w:rsidRPr="00F8372C">
        <w:rPr>
          <w:rFonts w:ascii="Times New Roman" w:hAnsi="Times New Roman" w:cs="Times New Roman"/>
          <w:sz w:val="20"/>
          <w:szCs w:val="20"/>
          <w:lang w:val="en-US"/>
        </w:rPr>
        <w:t>ormant cancer cells (DCCs)</w:t>
      </w:r>
      <w:r w:rsidR="0017264E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="00A00861" w:rsidRPr="00F8372C">
        <w:rPr>
          <w:rFonts w:ascii="Times New Roman" w:hAnsi="Times New Roman" w:cs="Times New Roman"/>
          <w:sz w:val="20"/>
          <w:szCs w:val="20"/>
          <w:lang w:val="en-US"/>
        </w:rPr>
        <w:t>a subpopulation</w:t>
      </w:r>
      <w:r w:rsidR="0017264E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of cancer cells</w:t>
      </w:r>
      <w:r w:rsidR="00A00861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that </w:t>
      </w:r>
      <w:r w:rsidR="00653CAA" w:rsidRPr="00F8372C">
        <w:rPr>
          <w:rFonts w:ascii="Times New Roman" w:hAnsi="Times New Roman" w:cs="Times New Roman"/>
          <w:sz w:val="20"/>
          <w:szCs w:val="20"/>
          <w:lang w:val="en-US"/>
        </w:rPr>
        <w:t>enter</w:t>
      </w:r>
      <w:r w:rsidR="0017264E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653CAA" w:rsidRPr="00F8372C">
        <w:rPr>
          <w:rFonts w:ascii="Times New Roman" w:hAnsi="Times New Roman" w:cs="Times New Roman"/>
          <w:sz w:val="20"/>
          <w:szCs w:val="20"/>
          <w:lang w:val="en-US"/>
        </w:rPr>
        <w:t>a</w:t>
      </w:r>
      <w:r w:rsidR="00A00861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653CAA" w:rsidRPr="00F8372C">
        <w:rPr>
          <w:rFonts w:ascii="Times New Roman" w:hAnsi="Times New Roman" w:cs="Times New Roman"/>
          <w:sz w:val="20"/>
          <w:szCs w:val="20"/>
          <w:lang w:val="en-US"/>
        </w:rPr>
        <w:t>tempora</w:t>
      </w:r>
      <w:r w:rsidR="00A00861" w:rsidRPr="00F8372C">
        <w:rPr>
          <w:rFonts w:ascii="Times New Roman" w:hAnsi="Times New Roman" w:cs="Times New Roman"/>
          <w:sz w:val="20"/>
          <w:szCs w:val="20"/>
          <w:lang w:val="en-US"/>
        </w:rPr>
        <w:t>ry</w:t>
      </w:r>
      <w:r w:rsidR="00653CAA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67286F" w:rsidRPr="00F8372C">
        <w:rPr>
          <w:rFonts w:ascii="Times New Roman" w:hAnsi="Times New Roman" w:cs="Times New Roman"/>
          <w:sz w:val="20"/>
          <w:szCs w:val="20"/>
          <w:lang w:val="en-US"/>
        </w:rPr>
        <w:t>G0</w:t>
      </w:r>
      <w:r w:rsidR="0001309D" w:rsidRPr="00F8372C">
        <w:rPr>
          <w:rFonts w:ascii="Times New Roman" w:hAnsi="Times New Roman" w:cs="Times New Roman"/>
          <w:sz w:val="20"/>
          <w:szCs w:val="20"/>
          <w:lang w:val="en-US"/>
        </w:rPr>
        <w:t>-G1</w:t>
      </w:r>
      <w:r w:rsidR="0067286F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cell cycle</w:t>
      </w:r>
      <w:r w:rsidR="00DC7630" w:rsidRPr="00F8372C">
        <w:rPr>
          <w:rFonts w:ascii="Times New Roman" w:hAnsi="Times New Roman" w:cs="Times New Roman"/>
          <w:sz w:val="20"/>
          <w:szCs w:val="20"/>
          <w:lang w:val="en-US"/>
        </w:rPr>
        <w:t>-</w:t>
      </w:r>
      <w:r w:rsidR="00653CAA" w:rsidRPr="00F8372C">
        <w:rPr>
          <w:rFonts w:ascii="Times New Roman" w:hAnsi="Times New Roman" w:cs="Times New Roman"/>
          <w:sz w:val="20"/>
          <w:szCs w:val="20"/>
          <w:lang w:val="en-US"/>
        </w:rPr>
        <w:t>arrest</w:t>
      </w:r>
      <w:r w:rsidR="0067286F" w:rsidRPr="00F8372C">
        <w:rPr>
          <w:rFonts w:ascii="Times New Roman" w:hAnsi="Times New Roman" w:cs="Times New Roman"/>
          <w:sz w:val="20"/>
          <w:szCs w:val="20"/>
          <w:lang w:val="en-US"/>
        </w:rPr>
        <w:t>ed state</w:t>
      </w:r>
      <w:r w:rsidR="0017264E" w:rsidRPr="00F8372C">
        <w:rPr>
          <w:rFonts w:ascii="Times New Roman" w:hAnsi="Times New Roman" w:cs="Times New Roman"/>
          <w:sz w:val="20"/>
          <w:szCs w:val="20"/>
          <w:lang w:val="en-US"/>
        </w:rPr>
        <w:t>,</w:t>
      </w:r>
      <w:r w:rsidR="00A00861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also known as a reversible </w:t>
      </w:r>
      <w:r w:rsidR="00653CAA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non-proliferative (quiescent) </w:t>
      </w:r>
      <w:r w:rsidR="00A00861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state </w:t>
      </w:r>
      <w:r w:rsidR="00A00861" w:rsidRPr="00F8372C">
        <w:rPr>
          <w:rFonts w:ascii="Times New Roman" w:hAnsi="Times New Roman" w:cs="Times New Roman"/>
          <w:sz w:val="20"/>
          <w:szCs w:val="20"/>
          <w:lang w:val="en-US"/>
        </w:rPr>
        <w:fldChar w:fldCharType="begin"/>
      </w:r>
      <w:r w:rsidR="00A00861" w:rsidRPr="00F8372C">
        <w:rPr>
          <w:rFonts w:ascii="Times New Roman" w:hAnsi="Times New Roman" w:cs="Times New Roman"/>
          <w:sz w:val="20"/>
          <w:szCs w:val="20"/>
          <w:lang w:val="en-US"/>
        </w:rPr>
        <w:instrText xml:space="preserve"> ADDIN EN.CITE &lt;EndNote&gt;&lt;Cite&gt;&lt;Author&gt;Hadfield&lt;/Author&gt;&lt;Year&gt;1954&lt;/Year&gt;&lt;RecNum&gt;284&lt;/RecNum&gt;&lt;DisplayText&gt;(Hadfield, 1954)&lt;/DisplayText&gt;&lt;record&gt;&lt;rec-number&gt;284&lt;/rec-number&gt;&lt;foreign-keys&gt;&lt;key app="EN" db-id="vszs2sdzn0wrxnesffnpa5t0srarrpexaffz" timestamp="1743763769"&gt;284&lt;/key&gt;&lt;/foreign-keys&gt;&lt;ref-type name="Journal Article"&gt;17&lt;/ref-type&gt;&lt;contributors&gt;&lt;authors&gt;&lt;author&gt;Hadfield, Geoffrey&lt;/author&gt;&lt;/authors&gt;&lt;/contributors&gt;&lt;titles&gt;&lt;title&gt;The Dormant Cancer Cell&lt;/title&gt;&lt;secondary-title&gt;British Medical Journal&lt;/secondary-title&gt;&lt;/titles&gt;&lt;periodical&gt;&lt;full-title&gt;British Medical Journal&lt;/full-title&gt;&lt;/periodical&gt;&lt;pages&gt;607-610&lt;/pages&gt;&lt;volume&gt;2&lt;/volume&gt;&lt;number&gt;4888&lt;/number&gt;&lt;dates&gt;&lt;year&gt;1954&lt;/year&gt;&lt;/dates&gt;&lt;urls&gt;&lt;related-urls&gt;&lt;url&gt;https://www.bmj.com/content/bmj/2/4888/607.full.pdf&lt;/url&gt;&lt;/related-urls&gt;&lt;/urls&gt;&lt;electronic-resource-num&gt;10.1136/bmj.2.4888.607&lt;/electronic-resource-num&gt;&lt;/record&gt;&lt;/Cite&gt;&lt;/EndNote&gt;</w:instrText>
      </w:r>
      <w:r w:rsidR="00A00861" w:rsidRPr="00F8372C">
        <w:rPr>
          <w:rFonts w:ascii="Times New Roman" w:hAnsi="Times New Roman" w:cs="Times New Roman"/>
          <w:sz w:val="20"/>
          <w:szCs w:val="20"/>
          <w:lang w:val="en-US"/>
        </w:rPr>
        <w:fldChar w:fldCharType="separate"/>
      </w:r>
      <w:r w:rsidR="00A00861" w:rsidRPr="00F8372C">
        <w:rPr>
          <w:rFonts w:ascii="Times New Roman" w:hAnsi="Times New Roman" w:cs="Times New Roman"/>
          <w:noProof/>
          <w:sz w:val="20"/>
          <w:szCs w:val="20"/>
          <w:lang w:val="en-US"/>
        </w:rPr>
        <w:t>(Hadfield, 1954)</w:t>
      </w:r>
      <w:r w:rsidR="00A00861" w:rsidRPr="00F8372C">
        <w:rPr>
          <w:rFonts w:ascii="Times New Roman" w:hAnsi="Times New Roman" w:cs="Times New Roman"/>
          <w:sz w:val="20"/>
          <w:szCs w:val="20"/>
          <w:lang w:val="en-US"/>
        </w:rPr>
        <w:fldChar w:fldCharType="end"/>
      </w:r>
      <w:r w:rsidR="00A00861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bookmarkEnd w:id="0"/>
      <w:r w:rsidR="00DC7630" w:rsidRPr="00F8372C">
        <w:rPr>
          <w:rFonts w:ascii="Times New Roman" w:hAnsi="Times New Roman" w:cs="Times New Roman"/>
          <w:sz w:val="20"/>
          <w:szCs w:val="20"/>
          <w:lang w:val="en-US"/>
        </w:rPr>
        <w:t>The d</w:t>
      </w:r>
      <w:r w:rsidR="00A00861" w:rsidRPr="00F8372C">
        <w:rPr>
          <w:rFonts w:ascii="Times New Roman" w:hAnsi="Times New Roman" w:cs="Times New Roman"/>
          <w:sz w:val="20"/>
          <w:szCs w:val="20"/>
          <w:lang w:val="en-US"/>
        </w:rPr>
        <w:t>issemination</w:t>
      </w:r>
      <w:r w:rsidR="00DB31EC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of DCCs</w:t>
      </w:r>
      <w:r w:rsidR="00A00861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to distant sites can occur </w:t>
      </w:r>
      <w:r w:rsidR="00DB31EC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not only </w:t>
      </w:r>
      <w:r w:rsidR="00DC7630" w:rsidRPr="00F8372C">
        <w:rPr>
          <w:rFonts w:ascii="Times New Roman" w:hAnsi="Times New Roman" w:cs="Times New Roman"/>
          <w:sz w:val="20"/>
          <w:szCs w:val="20"/>
          <w:lang w:val="en-US"/>
        </w:rPr>
        <w:t>during</w:t>
      </w:r>
      <w:r w:rsidR="00A00861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early stages</w:t>
      </w:r>
      <w:r w:rsidR="00DC7630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of cancer progression</w:t>
      </w:r>
      <w:r w:rsidR="00DB31EC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but also after </w:t>
      </w:r>
      <w:r w:rsidR="00B1150A">
        <w:rPr>
          <w:rFonts w:ascii="Times New Roman" w:hAnsi="Times New Roman" w:cs="Times New Roman"/>
          <w:sz w:val="20"/>
          <w:szCs w:val="20"/>
          <w:lang w:val="en-US"/>
        </w:rPr>
        <w:t xml:space="preserve">the </w:t>
      </w:r>
      <w:r w:rsidR="00DC7630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administration of </w:t>
      </w:r>
      <w:r w:rsidR="00DB31EC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conventional treatments as </w:t>
      </w:r>
      <w:r w:rsidR="00E467C7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their non-proliferative state allows them to </w:t>
      </w:r>
      <w:r w:rsidR="00DC7630" w:rsidRPr="00F8372C">
        <w:rPr>
          <w:rFonts w:ascii="Times New Roman" w:hAnsi="Times New Roman" w:cs="Times New Roman"/>
          <w:sz w:val="20"/>
          <w:szCs w:val="20"/>
          <w:lang w:val="en-US"/>
        </w:rPr>
        <w:t>resist</w:t>
      </w:r>
      <w:r w:rsidR="00E467C7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treatments that primarily target rapidly dividing cancer cells. </w:t>
      </w:r>
      <w:r w:rsidR="0067286F" w:rsidRPr="00F8372C">
        <w:rPr>
          <w:rFonts w:ascii="Times New Roman" w:hAnsi="Times New Roman" w:cs="Times New Roman"/>
          <w:sz w:val="20"/>
          <w:szCs w:val="20"/>
          <w:lang w:val="en-US"/>
        </w:rPr>
        <w:t>Th</w:t>
      </w:r>
      <w:r w:rsidR="00DC7630" w:rsidRPr="00F8372C">
        <w:rPr>
          <w:rFonts w:ascii="Times New Roman" w:hAnsi="Times New Roman" w:cs="Times New Roman"/>
          <w:sz w:val="20"/>
          <w:szCs w:val="20"/>
          <w:lang w:val="en-US"/>
        </w:rPr>
        <w:t>erefore</w:t>
      </w:r>
      <w:r w:rsidR="0067286F" w:rsidRPr="00F8372C">
        <w:rPr>
          <w:rFonts w:ascii="Times New Roman" w:hAnsi="Times New Roman" w:cs="Times New Roman"/>
          <w:sz w:val="20"/>
          <w:szCs w:val="20"/>
          <w:lang w:val="en-US"/>
        </w:rPr>
        <w:t>, t</w:t>
      </w:r>
      <w:r w:rsidR="00DC7630" w:rsidRPr="00F8372C">
        <w:rPr>
          <w:rFonts w:ascii="Times New Roman" w:hAnsi="Times New Roman" w:cs="Times New Roman"/>
          <w:sz w:val="20"/>
          <w:szCs w:val="20"/>
          <w:lang w:val="en-US"/>
        </w:rPr>
        <w:t>argeting</w:t>
      </w:r>
      <w:r w:rsidR="0067286F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DCCs </w:t>
      </w:r>
      <w:r w:rsidR="00DC7630" w:rsidRPr="00F8372C">
        <w:rPr>
          <w:rFonts w:ascii="Times New Roman" w:hAnsi="Times New Roman" w:cs="Times New Roman"/>
          <w:sz w:val="20"/>
          <w:szCs w:val="20"/>
          <w:lang w:val="en-US"/>
        </w:rPr>
        <w:t>post-</w:t>
      </w:r>
      <w:r w:rsidR="0067286F" w:rsidRPr="00F8372C">
        <w:rPr>
          <w:rFonts w:ascii="Times New Roman" w:hAnsi="Times New Roman" w:cs="Times New Roman"/>
          <w:sz w:val="20"/>
          <w:szCs w:val="20"/>
          <w:lang w:val="en-US"/>
        </w:rPr>
        <w:t>primary t</w:t>
      </w:r>
      <w:r w:rsidR="0001309D" w:rsidRPr="00F8372C">
        <w:rPr>
          <w:rFonts w:ascii="Times New Roman" w:hAnsi="Times New Roman" w:cs="Times New Roman"/>
          <w:sz w:val="20"/>
          <w:szCs w:val="20"/>
          <w:lang w:val="en-US"/>
        </w:rPr>
        <w:t>herapy</w:t>
      </w:r>
      <w:r w:rsidR="00DC7630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is</w:t>
      </w:r>
      <w:r w:rsidR="0067286F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critical to prevent relapse</w:t>
      </w:r>
      <w:r w:rsidR="00DC7630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and improve prognosis</w:t>
      </w:r>
      <w:r w:rsidR="0067286F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in patients. </w:t>
      </w:r>
      <w:r w:rsidR="00DC7630" w:rsidRPr="00F8372C">
        <w:rPr>
          <w:rFonts w:ascii="Times New Roman" w:hAnsi="Times New Roman" w:cs="Times New Roman"/>
          <w:sz w:val="20"/>
          <w:szCs w:val="20"/>
          <w:lang w:val="en-US"/>
        </w:rPr>
        <w:t>This opinion piece will explore potential strategies for addressing dormant cancer cells and propose the most promising approach.</w:t>
      </w:r>
    </w:p>
    <w:p w14:paraId="51BAC2A5" w14:textId="6008D379" w:rsidR="00954B20" w:rsidRPr="00F8372C" w:rsidRDefault="00954B20" w:rsidP="00C63337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The </w:t>
      </w:r>
      <w:r w:rsidR="002C0360">
        <w:rPr>
          <w:rFonts w:ascii="Times New Roman" w:hAnsi="Times New Roman" w:cs="Times New Roman"/>
          <w:sz w:val="20"/>
          <w:szCs w:val="20"/>
          <w:lang w:val="en-US"/>
        </w:rPr>
        <w:t>‘</w:t>
      </w:r>
      <w:r w:rsidRPr="00F8372C">
        <w:rPr>
          <w:rFonts w:ascii="Times New Roman" w:hAnsi="Times New Roman" w:cs="Times New Roman"/>
          <w:sz w:val="20"/>
          <w:szCs w:val="20"/>
          <w:lang w:val="en-US"/>
        </w:rPr>
        <w:t>sleeping strategy</w:t>
      </w:r>
      <w:r w:rsidR="002C0360">
        <w:rPr>
          <w:rFonts w:ascii="Times New Roman" w:hAnsi="Times New Roman" w:cs="Times New Roman"/>
          <w:sz w:val="20"/>
          <w:szCs w:val="20"/>
          <w:lang w:val="en-US"/>
        </w:rPr>
        <w:t>’</w:t>
      </w:r>
      <w:r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focuses on maintaining DCCs in a dormant state, preventing </w:t>
      </w:r>
      <w:r w:rsidR="00F17A5C">
        <w:rPr>
          <w:rFonts w:ascii="Times New Roman" w:hAnsi="Times New Roman" w:cs="Times New Roman" w:hint="eastAsia"/>
          <w:sz w:val="20"/>
          <w:szCs w:val="20"/>
          <w:lang w:val="en-US"/>
        </w:rPr>
        <w:t>reactivation</w:t>
      </w:r>
      <w:r w:rsidRPr="00F8372C">
        <w:rPr>
          <w:rFonts w:ascii="Times New Roman" w:hAnsi="Times New Roman" w:cs="Times New Roman"/>
          <w:sz w:val="20"/>
          <w:szCs w:val="20"/>
          <w:lang w:val="en-US"/>
        </w:rPr>
        <w:t>, and, if possible, eradicat</w:t>
      </w:r>
      <w:r w:rsidR="007B0E95">
        <w:rPr>
          <w:rFonts w:ascii="Times New Roman" w:hAnsi="Times New Roman" w:cs="Times New Roman"/>
          <w:sz w:val="20"/>
          <w:szCs w:val="20"/>
          <w:lang w:val="en-US"/>
        </w:rPr>
        <w:t>ing</w:t>
      </w:r>
      <w:r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them while they remain quiescent. </w:t>
      </w:r>
      <w:r w:rsidR="00E01512" w:rsidRPr="00F8372C">
        <w:rPr>
          <w:rFonts w:ascii="Times New Roman" w:hAnsi="Times New Roman" w:cs="Times New Roman" w:hint="eastAsia"/>
          <w:sz w:val="20"/>
          <w:szCs w:val="20"/>
          <w:lang w:val="en-US"/>
        </w:rPr>
        <w:t>Dor</w:t>
      </w:r>
      <w:r w:rsidR="00E01512" w:rsidRPr="00F8372C">
        <w:rPr>
          <w:rFonts w:ascii="Times New Roman" w:hAnsi="Times New Roman" w:cs="Times New Roman"/>
          <w:sz w:val="20"/>
          <w:szCs w:val="20"/>
          <w:lang w:val="en-US"/>
        </w:rPr>
        <w:t>mancy can be maintained by either repressing proliferative signaling or upregulating dorman</w:t>
      </w:r>
      <w:r w:rsidR="00A93C19">
        <w:rPr>
          <w:rFonts w:ascii="Times New Roman" w:hAnsi="Times New Roman" w:cs="Times New Roman"/>
          <w:sz w:val="20"/>
          <w:szCs w:val="20"/>
          <w:lang w:val="en-US"/>
        </w:rPr>
        <w:t>cy</w:t>
      </w:r>
      <w:r w:rsidR="00E01512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780905">
        <w:rPr>
          <w:rFonts w:ascii="Times New Roman" w:hAnsi="Times New Roman" w:cs="Times New Roman" w:hint="eastAsia"/>
          <w:sz w:val="20"/>
          <w:szCs w:val="20"/>
          <w:lang w:val="en-US"/>
        </w:rPr>
        <w:t>pathways</w:t>
      </w:r>
      <w:r w:rsidR="00E01512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="007B0E95">
        <w:rPr>
          <w:rFonts w:ascii="Times New Roman" w:hAnsi="Times New Roman" w:cs="Times New Roman"/>
          <w:sz w:val="20"/>
          <w:szCs w:val="20"/>
          <w:lang w:val="en-US"/>
        </w:rPr>
        <w:t>Studies i</w:t>
      </w:r>
      <w:r w:rsidR="00865578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n basal cell carcinoma (BCC) have shown that initial treatment with the Hedgehog </w:t>
      </w:r>
      <w:r w:rsidR="00F8372C">
        <w:rPr>
          <w:rFonts w:ascii="Times New Roman" w:hAnsi="Times New Roman" w:cs="Times New Roman"/>
          <w:sz w:val="20"/>
          <w:szCs w:val="20"/>
          <w:lang w:val="en-US"/>
        </w:rPr>
        <w:t>signaling</w:t>
      </w:r>
      <w:r w:rsidR="00865578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inhibitor vismodegib often results in relapse due to a small, slow-cycling LGR5⁺ subpopulation with active Wnt signaling. In this context, Wnt inhibition can effectively silence this residual population and prevent relapse</w:t>
      </w:r>
      <w:r w:rsidR="004D4319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4D4319" w:rsidRPr="00F8372C">
        <w:rPr>
          <w:rFonts w:ascii="Times New Roman" w:hAnsi="Times New Roman" w:cs="Times New Roman"/>
          <w:sz w:val="20"/>
          <w:szCs w:val="20"/>
          <w:lang w:val="en-US"/>
        </w:rPr>
        <w:fldChar w:fldCharType="begin"/>
      </w:r>
      <w:r w:rsidR="004D4319" w:rsidRPr="00F8372C">
        <w:rPr>
          <w:rFonts w:ascii="Times New Roman" w:hAnsi="Times New Roman" w:cs="Times New Roman"/>
          <w:sz w:val="20"/>
          <w:szCs w:val="20"/>
          <w:lang w:val="en-US"/>
        </w:rPr>
        <w:instrText xml:space="preserve"> ADDIN EN.CITE &lt;EndNote&gt;&lt;Cite&gt;&lt;Author&gt;Sánchez-Danés&lt;/Author&gt;&lt;Year&gt;2018&lt;/Year&gt;&lt;RecNum&gt;286&lt;/RecNum&gt;&lt;DisplayText&gt;(Sánchez-Danés et al., 2018)&lt;/DisplayText&gt;&lt;record&gt;&lt;rec-number&gt;286&lt;/rec-number&gt;&lt;foreign-keys&gt;&lt;key app="EN" db-id="vszs2sdzn0wrxnesffnpa5t0srarrpexaffz" timestamp="1743841872"&gt;286&lt;/key&gt;&lt;/foreign-keys&gt;&lt;ref-type name="Journal Article"&gt;17&lt;/ref-type&gt;&lt;contributors&gt;&lt;authors&gt;&lt;author&gt;Sánchez-Danés, A.&lt;/author&gt;&lt;author&gt;Larsimont, J. C.&lt;/author&gt;&lt;author&gt;Liagre, M.&lt;/author&gt;&lt;author&gt;Muñoz-Couselo, E.&lt;/author&gt;&lt;author&gt;Lapouge, G.&lt;/author&gt;&lt;author&gt;Brisebarre, A.&lt;/author&gt;&lt;author&gt;Dubois, C.&lt;/author&gt;&lt;author&gt;Suppa, M.&lt;/author&gt;&lt;author&gt;Sukumaran, V.&lt;/author&gt;&lt;author&gt;del Marmol, V.&lt;/author&gt;&lt;author&gt;Tabernero, J.&lt;/author&gt;&lt;author&gt;Blanpain, C.&lt;/author&gt;&lt;/authors&gt;&lt;/contributors&gt;&lt;titles&gt;&lt;title&gt;A slow-cycling LGR5 tumour population mediates basal cell carcinoma relapse after therapy&lt;/title&gt;&lt;secondary-title&gt;Nature&lt;/secondary-title&gt;&lt;/titles&gt;&lt;periodical&gt;&lt;full-title&gt;Nature&lt;/full-title&gt;&lt;/periodical&gt;&lt;pages&gt;434-+&lt;/pages&gt;&lt;volume&gt;562&lt;/volume&gt;&lt;number&gt;7727&lt;/number&gt;&lt;dates&gt;&lt;year&gt;2018&lt;/year&gt;&lt;pub-dates&gt;&lt;date&gt;Oct&lt;/date&gt;&lt;/pub-dates&gt;&lt;/dates&gt;&lt;isbn&gt;0028-0836&lt;/isbn&gt;&lt;accession-num&gt;WOS:000447807100063&lt;/accession-num&gt;&lt;urls&gt;&lt;related-urls&gt;&lt;url&gt;&amp;lt;Go to ISI&amp;gt;://WOS:000447807100063&lt;/url&gt;&lt;/related-urls&gt;&lt;/urls&gt;&lt;electronic-resource-num&gt;10.1038/s41586-018-0603-3&lt;/electronic-resource-num&gt;&lt;/record&gt;&lt;/Cite&gt;&lt;/EndNote&gt;</w:instrText>
      </w:r>
      <w:r w:rsidR="004D4319" w:rsidRPr="00F8372C">
        <w:rPr>
          <w:rFonts w:ascii="Times New Roman" w:hAnsi="Times New Roman" w:cs="Times New Roman"/>
          <w:sz w:val="20"/>
          <w:szCs w:val="20"/>
          <w:lang w:val="en-US"/>
        </w:rPr>
        <w:fldChar w:fldCharType="separate"/>
      </w:r>
      <w:r w:rsidR="004D4319" w:rsidRPr="00F8372C">
        <w:rPr>
          <w:rFonts w:ascii="Times New Roman" w:hAnsi="Times New Roman" w:cs="Times New Roman"/>
          <w:noProof/>
          <w:sz w:val="20"/>
          <w:szCs w:val="20"/>
          <w:lang w:val="en-US"/>
        </w:rPr>
        <w:t>(Sánchez-Danés et al., 2018)</w:t>
      </w:r>
      <w:r w:rsidR="004D4319" w:rsidRPr="00F8372C">
        <w:rPr>
          <w:rFonts w:ascii="Times New Roman" w:hAnsi="Times New Roman" w:cs="Times New Roman"/>
          <w:sz w:val="20"/>
          <w:szCs w:val="20"/>
          <w:lang w:val="en-US"/>
        </w:rPr>
        <w:fldChar w:fldCharType="end"/>
      </w:r>
      <w:r w:rsidR="004D4319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="00865578" w:rsidRPr="00F8372C">
        <w:rPr>
          <w:rFonts w:ascii="Times New Roman" w:hAnsi="Times New Roman" w:cs="Times New Roman"/>
          <w:sz w:val="20"/>
          <w:szCs w:val="20"/>
          <w:lang w:val="en-US"/>
        </w:rPr>
        <w:t>However, such strategies are tumor</w:t>
      </w:r>
      <w:r w:rsidR="007B0E95">
        <w:rPr>
          <w:rFonts w:ascii="Times New Roman" w:hAnsi="Times New Roman" w:cs="Times New Roman"/>
          <w:sz w:val="20"/>
          <w:szCs w:val="20"/>
          <w:lang w:val="en-US"/>
        </w:rPr>
        <w:t>–</w:t>
      </w:r>
      <w:r w:rsidR="00865578" w:rsidRPr="00F8372C">
        <w:rPr>
          <w:rFonts w:ascii="Times New Roman" w:hAnsi="Times New Roman" w:cs="Times New Roman"/>
          <w:sz w:val="20"/>
          <w:szCs w:val="20"/>
          <w:lang w:val="en-US"/>
        </w:rPr>
        <w:t>type–specific, and a more pan-cancer approach to targe</w:t>
      </w:r>
      <w:r w:rsidR="003241E8">
        <w:rPr>
          <w:rFonts w:ascii="Times New Roman" w:hAnsi="Times New Roman" w:cs="Times New Roman"/>
          <w:sz w:val="20"/>
          <w:szCs w:val="20"/>
          <w:lang w:val="en-US"/>
        </w:rPr>
        <w:t>t</w:t>
      </w:r>
      <w:r w:rsidR="00865578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dormant cells is needed. CDK4/6 inhibitors, which prevent Rb phosphorylation and induce G1 cell-cycle arrest, have</w:t>
      </w:r>
      <w:r w:rsidR="003241E8">
        <w:rPr>
          <w:rFonts w:ascii="Times New Roman" w:hAnsi="Times New Roman" w:cs="Times New Roman"/>
          <w:sz w:val="20"/>
          <w:szCs w:val="20"/>
          <w:lang w:val="en-US"/>
        </w:rPr>
        <w:t xml:space="preserve"> been</w:t>
      </w:r>
      <w:r w:rsidR="00865578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shown to enforce cytostasis and could therefore be used to prevent cell cycle re-entry of </w:t>
      </w:r>
      <w:r w:rsidR="008F257F">
        <w:rPr>
          <w:rFonts w:ascii="Times New Roman" w:hAnsi="Times New Roman" w:cs="Times New Roman"/>
          <w:sz w:val="20"/>
          <w:szCs w:val="20"/>
          <w:lang w:val="en-US"/>
        </w:rPr>
        <w:t>DCCs</w:t>
      </w:r>
      <w:r w:rsidR="00D601AB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D601AB" w:rsidRPr="00F8372C">
        <w:rPr>
          <w:rFonts w:ascii="Times New Roman" w:hAnsi="Times New Roman" w:cs="Times New Roman"/>
          <w:sz w:val="20"/>
          <w:szCs w:val="20"/>
          <w:lang w:val="en-US"/>
        </w:rPr>
        <w:fldChar w:fldCharType="begin"/>
      </w:r>
      <w:r w:rsidR="00D601AB" w:rsidRPr="00F8372C">
        <w:rPr>
          <w:rFonts w:ascii="Times New Roman" w:hAnsi="Times New Roman" w:cs="Times New Roman"/>
          <w:sz w:val="20"/>
          <w:szCs w:val="20"/>
          <w:lang w:val="en-US"/>
        </w:rPr>
        <w:instrText xml:space="preserve"> ADDIN EN.CITE &lt;EndNote&gt;&lt;Cite&gt;&lt;Author&gt;O&amp;apos;Leary&lt;/Author&gt;&lt;Year&gt;2016&lt;/Year&gt;&lt;RecNum&gt;287&lt;/RecNum&gt;&lt;DisplayText&gt;(O&amp;apos;Leary et al., 2016)&lt;/DisplayText&gt;&lt;record&gt;&lt;rec-number&gt;287&lt;/rec-number&gt;&lt;foreign-keys&gt;&lt;key app="EN" db-id="vszs2sdzn0wrxnesffnpa5t0srarrpexaffz" timestamp="1743842961"&gt;287&lt;/key&gt;&lt;/foreign-keys&gt;&lt;ref-type name="Journal Article"&gt;17&lt;/ref-type&gt;&lt;contributors&gt;&lt;authors&gt;&lt;author&gt;O&amp;apos;Leary, B.&lt;/author&gt;&lt;author&gt;Finn, R. S.&lt;/author&gt;&lt;author&gt;Turner, N. C.&lt;/author&gt;&lt;/authors&gt;&lt;/contributors&gt;&lt;titles&gt;&lt;title&gt;Treating cancer with selective CDK4/6 inhibitors&lt;/title&gt;&lt;secondary-title&gt;Nature Reviews Clinical Oncology&lt;/secondary-title&gt;&lt;/titles&gt;&lt;periodical&gt;&lt;full-title&gt;Nature Reviews Clinical Oncology&lt;/full-title&gt;&lt;/periodical&gt;&lt;pages&gt;417-430&lt;/pages&gt;&lt;volume&gt;13&lt;/volume&gt;&lt;number&gt;7&lt;/number&gt;&lt;dates&gt;&lt;year&gt;2016&lt;/year&gt;&lt;pub-dates&gt;&lt;date&gt;Jul&lt;/date&gt;&lt;/pub-dates&gt;&lt;/dates&gt;&lt;isbn&gt;1759-4774&lt;/isbn&gt;&lt;accession-num&gt;WOS:000378284900004&lt;/accession-num&gt;&lt;urls&gt;&lt;related-urls&gt;&lt;url&gt;&amp;lt;Go to ISI&amp;gt;://WOS:000378284900004&lt;/url&gt;&lt;/related-urls&gt;&lt;/urls&gt;&lt;electronic-resource-num&gt;10.1038/nrclinonc.2016.26&lt;/electronic-resource-num&gt;&lt;/record&gt;&lt;/Cite&gt;&lt;/EndNote&gt;</w:instrText>
      </w:r>
      <w:r w:rsidR="00D601AB" w:rsidRPr="00F8372C">
        <w:rPr>
          <w:rFonts w:ascii="Times New Roman" w:hAnsi="Times New Roman" w:cs="Times New Roman"/>
          <w:sz w:val="20"/>
          <w:szCs w:val="20"/>
          <w:lang w:val="en-US"/>
        </w:rPr>
        <w:fldChar w:fldCharType="separate"/>
      </w:r>
      <w:r w:rsidR="00D601AB" w:rsidRPr="00F8372C">
        <w:rPr>
          <w:rFonts w:ascii="Times New Roman" w:hAnsi="Times New Roman" w:cs="Times New Roman"/>
          <w:noProof/>
          <w:sz w:val="20"/>
          <w:szCs w:val="20"/>
          <w:lang w:val="en-US"/>
        </w:rPr>
        <w:t>(O'Leary et al., 2016)</w:t>
      </w:r>
      <w:r w:rsidR="00D601AB" w:rsidRPr="00F8372C">
        <w:rPr>
          <w:rFonts w:ascii="Times New Roman" w:hAnsi="Times New Roman" w:cs="Times New Roman"/>
          <w:sz w:val="20"/>
          <w:szCs w:val="20"/>
          <w:lang w:val="en-US"/>
        </w:rPr>
        <w:fldChar w:fldCharType="end"/>
      </w:r>
      <w:r w:rsidR="00D601AB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="00865578" w:rsidRPr="00F8372C">
        <w:rPr>
          <w:rFonts w:ascii="Times New Roman" w:hAnsi="Times New Roman" w:cs="Times New Roman"/>
          <w:sz w:val="20"/>
          <w:szCs w:val="20"/>
          <w:lang w:val="en-US"/>
        </w:rPr>
        <w:t>While CDK4/6 inhibitors are currently part of the standard</w:t>
      </w:r>
      <w:r w:rsidR="00780905">
        <w:rPr>
          <w:rFonts w:ascii="Times New Roman" w:hAnsi="Times New Roman" w:cs="Times New Roman" w:hint="eastAsia"/>
          <w:sz w:val="20"/>
          <w:szCs w:val="20"/>
          <w:lang w:val="en-US"/>
        </w:rPr>
        <w:t xml:space="preserve"> of</w:t>
      </w:r>
      <w:r w:rsidR="00865578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care for advanced breast cancer, their potential extends to other malignancies. Notably, sequential administration of CDK4/6 inhibitors following DNA-damaging chemotherapy was shown to </w:t>
      </w:r>
      <w:r w:rsidR="00F8372C" w:rsidRPr="00F8372C">
        <w:rPr>
          <w:rFonts w:ascii="Times New Roman" w:hAnsi="Times New Roman" w:cs="Times New Roman"/>
          <w:sz w:val="20"/>
          <w:szCs w:val="20"/>
          <w:lang w:val="en-US"/>
        </w:rPr>
        <w:t>improve the recovery of</w:t>
      </w:r>
      <w:r w:rsidR="00865578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pancreatic ductal adenocarcinoma by enforcing G1 arrest and repressing homologous recombination repair</w:t>
      </w:r>
      <w:r w:rsidR="00F8372C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, thereby preventing recovery from genotoxic stress. This effect may be potentially correlated with </w:t>
      </w:r>
      <w:r w:rsidR="000F013E">
        <w:rPr>
          <w:rFonts w:ascii="Times New Roman" w:hAnsi="Times New Roman" w:cs="Times New Roman" w:hint="eastAsia"/>
          <w:sz w:val="20"/>
          <w:szCs w:val="20"/>
          <w:lang w:val="en-US"/>
        </w:rPr>
        <w:t xml:space="preserve">the </w:t>
      </w:r>
      <w:r w:rsidR="00F8372C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maintenance of a dormant-like state in residual </w:t>
      </w:r>
      <w:r w:rsidR="00825660">
        <w:rPr>
          <w:rFonts w:ascii="Times New Roman" w:hAnsi="Times New Roman" w:cs="Times New Roman"/>
          <w:sz w:val="20"/>
          <w:szCs w:val="20"/>
          <w:lang w:val="en-US"/>
        </w:rPr>
        <w:t xml:space="preserve">cancer </w:t>
      </w:r>
      <w:r w:rsidR="00F8372C" w:rsidRPr="00F8372C">
        <w:rPr>
          <w:rFonts w:ascii="Times New Roman" w:hAnsi="Times New Roman" w:cs="Times New Roman"/>
          <w:sz w:val="20"/>
          <w:szCs w:val="20"/>
          <w:lang w:val="en-US"/>
        </w:rPr>
        <w:t>cells</w:t>
      </w:r>
      <w:r w:rsidR="00865578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D601AB" w:rsidRPr="00F8372C">
        <w:rPr>
          <w:rFonts w:ascii="Times New Roman" w:hAnsi="Times New Roman" w:cs="Times New Roman"/>
          <w:sz w:val="20"/>
          <w:szCs w:val="20"/>
          <w:lang w:val="en-US"/>
        </w:rPr>
        <w:fldChar w:fldCharType="begin"/>
      </w:r>
      <w:r w:rsidR="00D601AB" w:rsidRPr="00F8372C">
        <w:rPr>
          <w:rFonts w:ascii="Times New Roman" w:hAnsi="Times New Roman" w:cs="Times New Roman"/>
          <w:sz w:val="20"/>
          <w:szCs w:val="20"/>
          <w:lang w:val="en-US"/>
        </w:rPr>
        <w:instrText xml:space="preserve"> ADDIN EN.CITE &lt;EndNote&gt;&lt;Cite&gt;&lt;Author&gt;Salvador-Barbero&lt;/Author&gt;&lt;Year&gt;2020&lt;/Year&gt;&lt;RecNum&gt;288&lt;/RecNum&gt;&lt;DisplayText&gt;(Salvador-Barbero et al., 2020)&lt;/DisplayText&gt;&lt;record&gt;&lt;rec-number&gt;288&lt;/rec-number&gt;&lt;foreign-keys&gt;&lt;key app="EN" db-id="vszs2sdzn0wrxnesffnpa5t0srarrpexaffz" timestamp="1743843087"&gt;288&lt;/key&gt;&lt;/foreign-keys&gt;&lt;ref-type name="Journal Article"&gt;17&lt;/ref-type&gt;&lt;contributors&gt;&lt;authors&gt;&lt;author&gt;Salvador-Barbero, B.&lt;/author&gt;&lt;author&gt;Alvarez-Fernández, M.&lt;/author&gt;&lt;author&gt;Zapatero-Solana, E.&lt;/author&gt;&lt;author&gt;El Bakkali, A.&lt;/author&gt;&lt;author&gt;Menéndez, M. D.&lt;/author&gt;&lt;author&gt;López-Casas, P. P.&lt;/author&gt;&lt;author&gt;Di Domenico, T.&lt;/author&gt;&lt;author&gt;Xie, T.&lt;/author&gt;&lt;author&gt;VanArsdale, T.&lt;/author&gt;&lt;author&gt;Shields, D. J.&lt;/author&gt;&lt;author&gt;Hidalgo, M.&lt;/author&gt;&lt;author&gt;Malumbres, M.&lt;/author&gt;&lt;/authors&gt;&lt;/contributors&gt;&lt;titles&gt;&lt;title&gt;CDK4/6 Inhibitors Impair Recovery from Cytotoxic Chemotherapy in Pancreatic Adenocarcinoma&lt;/title&gt;&lt;secondary-title&gt;Cancer Cell&lt;/secondary-title&gt;&lt;/titles&gt;&lt;periodical&gt;&lt;full-title&gt;Cancer Cell&lt;/full-title&gt;&lt;/periodical&gt;&lt;pages&gt;340-+&lt;/pages&gt;&lt;volume&gt;37&lt;/volume&gt;&lt;number&gt;3&lt;/number&gt;&lt;dates&gt;&lt;year&gt;2020&lt;/year&gt;&lt;pub-dates&gt;&lt;date&gt;Mar&lt;/date&gt;&lt;/pub-dates&gt;&lt;/dates&gt;&lt;isbn&gt;1535-6108&lt;/isbn&gt;&lt;accession-num&gt;WOS:000520110400009&lt;/accession-num&gt;&lt;urls&gt;&lt;related-urls&gt;&lt;url&gt;&amp;lt;Go to ISI&amp;gt;://WOS:000520110400009&lt;/url&gt;&lt;/related-urls&gt;&lt;/urls&gt;&lt;electronic-resource-num&gt;10.1016/j.ccell.2020.01.007&lt;/electronic-resource-num&gt;&lt;/record&gt;&lt;/Cite&gt;&lt;/EndNote&gt;</w:instrText>
      </w:r>
      <w:r w:rsidR="00D601AB" w:rsidRPr="00F8372C">
        <w:rPr>
          <w:rFonts w:ascii="Times New Roman" w:hAnsi="Times New Roman" w:cs="Times New Roman"/>
          <w:sz w:val="20"/>
          <w:szCs w:val="20"/>
          <w:lang w:val="en-US"/>
        </w:rPr>
        <w:fldChar w:fldCharType="separate"/>
      </w:r>
      <w:r w:rsidR="00D601AB" w:rsidRPr="00F8372C">
        <w:rPr>
          <w:rFonts w:ascii="Times New Roman" w:hAnsi="Times New Roman" w:cs="Times New Roman"/>
          <w:noProof/>
          <w:sz w:val="20"/>
          <w:szCs w:val="20"/>
          <w:lang w:val="en-US"/>
        </w:rPr>
        <w:t>(Salvador-Barbero et al., 2020)</w:t>
      </w:r>
      <w:r w:rsidR="00D601AB" w:rsidRPr="00F8372C">
        <w:rPr>
          <w:rFonts w:ascii="Times New Roman" w:hAnsi="Times New Roman" w:cs="Times New Roman"/>
          <w:sz w:val="20"/>
          <w:szCs w:val="20"/>
          <w:lang w:val="en-US"/>
        </w:rPr>
        <w:fldChar w:fldCharType="end"/>
      </w:r>
      <w:r w:rsidR="00865578" w:rsidRPr="00F8372C">
        <w:rPr>
          <w:rFonts w:ascii="Times New Roman" w:hAnsi="Times New Roman" w:cs="Times New Roman"/>
          <w:sz w:val="20"/>
          <w:szCs w:val="20"/>
          <w:lang w:val="en-US"/>
        </w:rPr>
        <w:t>.</w:t>
      </w:r>
      <w:r w:rsidR="00A1571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865578" w:rsidRPr="00F8372C">
        <w:rPr>
          <w:rFonts w:ascii="Times New Roman" w:hAnsi="Times New Roman" w:cs="Times New Roman"/>
          <w:sz w:val="20"/>
          <w:szCs w:val="20"/>
          <w:lang w:val="en-US"/>
        </w:rPr>
        <w:t xml:space="preserve">Moreover, </w:t>
      </w:r>
      <w:r w:rsidR="007B0E95">
        <w:rPr>
          <w:rFonts w:ascii="Times New Roman" w:hAnsi="Times New Roman" w:cs="Times New Roman"/>
          <w:sz w:val="20"/>
          <w:szCs w:val="20"/>
          <w:lang w:val="en-US"/>
        </w:rPr>
        <w:t xml:space="preserve">a </w:t>
      </w:r>
      <w:r w:rsidR="00A93C19">
        <w:rPr>
          <w:rFonts w:ascii="Times New Roman" w:hAnsi="Times New Roman" w:cs="Times New Roman"/>
          <w:sz w:val="20"/>
          <w:szCs w:val="20"/>
          <w:lang w:val="en-US"/>
        </w:rPr>
        <w:t>high p38/ERK ratio is a dormancy marker</w:t>
      </w:r>
      <w:r w:rsidR="007B0E95">
        <w:rPr>
          <w:rFonts w:ascii="Times New Roman" w:hAnsi="Times New Roman" w:cs="Times New Roman"/>
          <w:sz w:val="20"/>
          <w:szCs w:val="20"/>
          <w:lang w:val="en-US"/>
        </w:rPr>
        <w:t>,</w:t>
      </w:r>
      <w:r w:rsidR="00A93C19">
        <w:rPr>
          <w:rFonts w:ascii="Times New Roman" w:hAnsi="Times New Roman" w:cs="Times New Roman"/>
          <w:sz w:val="20"/>
          <w:szCs w:val="20"/>
          <w:lang w:val="en-US"/>
        </w:rPr>
        <w:t xml:space="preserve"> and therefore activating p38 or downregulat</w:t>
      </w:r>
      <w:r w:rsidR="007B0E95">
        <w:rPr>
          <w:rFonts w:ascii="Times New Roman" w:hAnsi="Times New Roman" w:cs="Times New Roman"/>
          <w:sz w:val="20"/>
          <w:szCs w:val="20"/>
          <w:lang w:val="en-US"/>
        </w:rPr>
        <w:t>ing</w:t>
      </w:r>
      <w:r w:rsidR="00A93C19">
        <w:rPr>
          <w:rFonts w:ascii="Times New Roman" w:hAnsi="Times New Roman" w:cs="Times New Roman"/>
          <w:sz w:val="20"/>
          <w:szCs w:val="20"/>
          <w:lang w:val="en-US"/>
        </w:rPr>
        <w:t xml:space="preserve"> ERK can result in </w:t>
      </w:r>
      <w:r w:rsidR="007B0E95">
        <w:rPr>
          <w:rFonts w:ascii="Times New Roman" w:hAnsi="Times New Roman" w:cs="Times New Roman"/>
          <w:sz w:val="20"/>
          <w:szCs w:val="20"/>
          <w:lang w:val="en-US"/>
        </w:rPr>
        <w:t xml:space="preserve">the </w:t>
      </w:r>
      <w:r w:rsidR="00A93C19">
        <w:rPr>
          <w:rFonts w:ascii="Times New Roman" w:hAnsi="Times New Roman" w:cs="Times New Roman"/>
          <w:sz w:val="20"/>
          <w:szCs w:val="20"/>
          <w:lang w:val="en-US"/>
        </w:rPr>
        <w:t xml:space="preserve">permanent arrest of dormant cells </w:t>
      </w:r>
      <w:r w:rsidR="003E0758">
        <w:rPr>
          <w:rFonts w:ascii="Times New Roman" w:hAnsi="Times New Roman" w:cs="Times New Roman"/>
          <w:sz w:val="20"/>
          <w:szCs w:val="20"/>
          <w:lang w:val="en-US"/>
        </w:rPr>
        <w:fldChar w:fldCharType="begin"/>
      </w:r>
      <w:r w:rsidR="003E0758">
        <w:rPr>
          <w:rFonts w:ascii="Times New Roman" w:hAnsi="Times New Roman" w:cs="Times New Roman"/>
          <w:sz w:val="20"/>
          <w:szCs w:val="20"/>
          <w:lang w:val="en-US"/>
        </w:rPr>
        <w:instrText xml:space="preserve"> ADDIN EN.CITE &lt;EndNote&gt;&lt;Cite&gt;&lt;Author&gt;Santos-de-Frutos&lt;/Author&gt;&lt;Year&gt;2021&lt;/Year&gt;&lt;RecNum&gt;285&lt;/RecNum&gt;&lt;DisplayText&gt;(Santos-de-Frutos and Djouder, 2021)&lt;/DisplayText&gt;&lt;record&gt;&lt;rec-number&gt;285&lt;/rec-number&gt;&lt;foreign-keys&gt;&lt;key app="EN" db-id="vszs2sdzn0wrxnesffnpa5t0srarrpexaffz" timestamp="1743768398"&gt;285&lt;/key&gt;&lt;/foreign-keys&gt;&lt;ref-type name="Journal Article"&gt;17&lt;/ref-type&gt;&lt;contributors&gt;&lt;authors&gt;&lt;author&gt;Santos-de-Frutos, K.&lt;/author&gt;&lt;author&gt;Djouder, N.&lt;/author&gt;&lt;/authors&gt;&lt;/contributors&gt;&lt;titles&gt;&lt;title&gt;When dormancy fuels tumour relapse&lt;/title&gt;&lt;secondary-title&gt;Communications Biology&lt;/secondary-title&gt;&lt;/titles&gt;&lt;periodical&gt;&lt;full-title&gt;Communications Biology&lt;/full-title&gt;&lt;/periodical&gt;&lt;volume&gt;4&lt;/volume&gt;&lt;number&gt;1&lt;/number&gt;&lt;dates&gt;&lt;year&gt;2021&lt;/year&gt;&lt;pub-dates&gt;&lt;date&gt;Jun&lt;/date&gt;&lt;/pub-dates&gt;&lt;/dates&gt;&lt;accession-num&gt;WOS:000664651200003&lt;/accession-num&gt;&lt;urls&gt;&lt;related-urls&gt;&lt;url&gt;&amp;lt;Go to ISI&amp;gt;://WOS:000664651200003&lt;/url&gt;&lt;/related-urls&gt;&lt;/urls&gt;&lt;custom7&gt;747&lt;/custom7&gt;&lt;electronic-resource-num&gt;10.1038/s42003-021-02257-0&lt;/electronic-resource-num&gt;&lt;/record&gt;&lt;/Cite&gt;&lt;/EndNote&gt;</w:instrText>
      </w:r>
      <w:r w:rsidR="003E0758">
        <w:rPr>
          <w:rFonts w:ascii="Times New Roman" w:hAnsi="Times New Roman" w:cs="Times New Roman"/>
          <w:sz w:val="20"/>
          <w:szCs w:val="20"/>
          <w:lang w:val="en-US"/>
        </w:rPr>
        <w:fldChar w:fldCharType="separate"/>
      </w:r>
      <w:r w:rsidR="003E0758">
        <w:rPr>
          <w:rFonts w:ascii="Times New Roman" w:hAnsi="Times New Roman" w:cs="Times New Roman"/>
          <w:noProof/>
          <w:sz w:val="20"/>
          <w:szCs w:val="20"/>
          <w:lang w:val="en-US"/>
        </w:rPr>
        <w:t>(Santos-de-Frutos and Djouder, 2021)</w:t>
      </w:r>
      <w:r w:rsidR="003E0758">
        <w:rPr>
          <w:rFonts w:ascii="Times New Roman" w:hAnsi="Times New Roman" w:cs="Times New Roman"/>
          <w:sz w:val="20"/>
          <w:szCs w:val="20"/>
          <w:lang w:val="en-US"/>
        </w:rPr>
        <w:fldChar w:fldCharType="end"/>
      </w:r>
      <w:r w:rsidR="003E0758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="00A15710" w:rsidRPr="00A15710">
        <w:rPr>
          <w:rFonts w:ascii="Times New Roman" w:hAnsi="Times New Roman" w:cs="Times New Roman"/>
          <w:sz w:val="20"/>
          <w:szCs w:val="20"/>
          <w:lang w:val="en-US"/>
        </w:rPr>
        <w:t>Beyond maintaining dormancy, targeting survival mechanisms offers a strategy to eradicate dormant cell</w:t>
      </w:r>
      <w:r w:rsidR="00A15710">
        <w:rPr>
          <w:rFonts w:ascii="Times New Roman" w:hAnsi="Times New Roman" w:cs="Times New Roman"/>
          <w:sz w:val="20"/>
          <w:szCs w:val="20"/>
          <w:lang w:val="en-US"/>
        </w:rPr>
        <w:t>s.</w:t>
      </w:r>
      <w:r w:rsidR="003E075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A15710">
        <w:rPr>
          <w:rFonts w:ascii="Times New Roman" w:hAnsi="Times New Roman" w:cs="Times New Roman"/>
          <w:sz w:val="20"/>
          <w:szCs w:val="20"/>
          <w:lang w:val="en-US"/>
        </w:rPr>
        <w:t>S</w:t>
      </w:r>
      <w:r w:rsidR="003E0758">
        <w:rPr>
          <w:rFonts w:ascii="Times New Roman" w:hAnsi="Times New Roman" w:cs="Times New Roman"/>
          <w:sz w:val="20"/>
          <w:szCs w:val="20"/>
          <w:lang w:val="en-US"/>
        </w:rPr>
        <w:t xml:space="preserve">tudies have found that </w:t>
      </w:r>
      <w:r w:rsidR="003E0758" w:rsidRPr="003E0758">
        <w:rPr>
          <w:rFonts w:ascii="Times New Roman" w:hAnsi="Times New Roman" w:cs="Times New Roman"/>
          <w:sz w:val="20"/>
          <w:szCs w:val="20"/>
          <w:lang w:val="en-US"/>
        </w:rPr>
        <w:t xml:space="preserve">residual </w:t>
      </w:r>
      <w:r w:rsidR="003E0758">
        <w:rPr>
          <w:rFonts w:ascii="Times New Roman" w:hAnsi="Times New Roman" w:cs="Times New Roman"/>
          <w:sz w:val="20"/>
          <w:szCs w:val="20"/>
          <w:lang w:val="en-US"/>
        </w:rPr>
        <w:t xml:space="preserve">pancreatic cancer </w:t>
      </w:r>
      <w:r w:rsidR="003E0758" w:rsidRPr="003E0758">
        <w:rPr>
          <w:rFonts w:ascii="Times New Roman" w:hAnsi="Times New Roman" w:cs="Times New Roman"/>
          <w:sz w:val="20"/>
          <w:szCs w:val="20"/>
          <w:lang w:val="en-US"/>
        </w:rPr>
        <w:t>cells surviving KRAS or c-MYC ablation</w:t>
      </w:r>
      <w:r w:rsidR="00A15710">
        <w:rPr>
          <w:rFonts w:ascii="Times New Roman" w:hAnsi="Times New Roman" w:cs="Times New Roman"/>
          <w:sz w:val="20"/>
          <w:szCs w:val="20"/>
          <w:lang w:val="en-US"/>
        </w:rPr>
        <w:t xml:space="preserve"> rely</w:t>
      </w:r>
      <w:r w:rsidR="003E0758">
        <w:rPr>
          <w:rFonts w:ascii="Times New Roman" w:hAnsi="Times New Roman" w:cs="Times New Roman"/>
          <w:sz w:val="20"/>
          <w:szCs w:val="20"/>
          <w:lang w:val="en-US"/>
        </w:rPr>
        <w:t xml:space="preserve"> on </w:t>
      </w:r>
      <w:r w:rsidR="003E0758" w:rsidRPr="003E0758">
        <w:rPr>
          <w:rFonts w:ascii="Times New Roman" w:hAnsi="Times New Roman" w:cs="Times New Roman"/>
          <w:sz w:val="20"/>
          <w:szCs w:val="20"/>
          <w:lang w:val="en-US"/>
        </w:rPr>
        <w:t>IGF1/AKT signaling</w:t>
      </w:r>
      <w:r w:rsidR="00A15710">
        <w:rPr>
          <w:rFonts w:ascii="Times New Roman" w:hAnsi="Times New Roman" w:cs="Times New Roman"/>
          <w:sz w:val="20"/>
          <w:szCs w:val="20"/>
          <w:lang w:val="en-US"/>
        </w:rPr>
        <w:t xml:space="preserve"> for survival and</w:t>
      </w:r>
      <w:r w:rsidR="003E075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A15710">
        <w:rPr>
          <w:rFonts w:ascii="Times New Roman" w:hAnsi="Times New Roman" w:cs="Times New Roman"/>
          <w:sz w:val="20"/>
          <w:szCs w:val="20"/>
          <w:lang w:val="en-US"/>
        </w:rPr>
        <w:t>its</w:t>
      </w:r>
      <w:r w:rsidR="003E0758">
        <w:rPr>
          <w:rFonts w:ascii="Times New Roman" w:hAnsi="Times New Roman" w:cs="Times New Roman"/>
          <w:sz w:val="20"/>
          <w:szCs w:val="20"/>
          <w:lang w:val="en-US"/>
        </w:rPr>
        <w:t xml:space="preserve"> inhibition reduces </w:t>
      </w:r>
      <w:r w:rsidR="00A15710">
        <w:rPr>
          <w:rFonts w:ascii="Times New Roman" w:hAnsi="Times New Roman" w:cs="Times New Roman"/>
          <w:sz w:val="20"/>
          <w:szCs w:val="20"/>
          <w:lang w:val="en-US"/>
        </w:rPr>
        <w:t xml:space="preserve">recurrence </w:t>
      </w:r>
      <w:r w:rsidR="00A15710">
        <w:rPr>
          <w:rFonts w:ascii="Times New Roman" w:hAnsi="Times New Roman" w:cs="Times New Roman"/>
          <w:sz w:val="20"/>
          <w:szCs w:val="20"/>
          <w:lang w:val="en-US"/>
        </w:rPr>
        <w:fldChar w:fldCharType="begin"/>
      </w:r>
      <w:r w:rsidR="00A15710">
        <w:rPr>
          <w:rFonts w:ascii="Times New Roman" w:hAnsi="Times New Roman" w:cs="Times New Roman"/>
          <w:sz w:val="20"/>
          <w:szCs w:val="20"/>
          <w:lang w:val="en-US"/>
        </w:rPr>
        <w:instrText xml:space="preserve"> ADDIN EN.CITE &lt;EndNote&gt;&lt;Cite&gt;&lt;Author&gt;Rajbhandari&lt;/Author&gt;&lt;Year&gt;2017&lt;/Year&gt;&lt;RecNum&gt;289&lt;/RecNum&gt;&lt;DisplayText&gt;(Rajbhandari et al., 2017)&lt;/DisplayText&gt;&lt;record&gt;&lt;rec-number&gt;289&lt;/rec-number&gt;&lt;foreign-keys&gt;&lt;key app="EN" db-id="vszs2sdzn0wrxnesffnpa5t0srarrpexaffz" timestamp="1743845994"&gt;289&lt;/key&gt;&lt;/foreign-keys&gt;&lt;ref-type name="Journal Article"&gt;17&lt;/ref-type&gt;&lt;contributors&gt;&lt;authors&gt;&lt;author&gt;Rajbhandari, N.&lt;/author&gt;&lt;author&gt;Lin, W. C.&lt;/author&gt;&lt;author&gt;Wehde, B. L.&lt;/author&gt;&lt;author&gt;Triplett, A. A.&lt;/author&gt;&lt;author&gt;Wagner, K. U.&lt;/author&gt;&lt;/authors&gt;&lt;/contributors&gt;&lt;titles&gt;&lt;title&gt;Autocrine IGF1 Signaling Mediates Pancreatic Tumor Cell Dormancy in the Absence of Oncogenic Drivers&lt;/title&gt;&lt;secondary-title&gt;Cell Reports&lt;/secondary-title&gt;&lt;/titles&gt;&lt;periodical&gt;&lt;full-title&gt;Cell Reports&lt;/full-title&gt;&lt;/periodical&gt;&lt;pages&gt;2243-2255&lt;/pages&gt;&lt;volume&gt;18&lt;/volume&gt;&lt;number&gt;9&lt;/number&gt;&lt;dates&gt;&lt;year&gt;2017&lt;/year&gt;&lt;pub-dates&gt;&lt;date&gt;Feb&lt;/date&gt;&lt;/pub-dates&gt;&lt;/dates&gt;&lt;isbn&gt;2211-1247&lt;/isbn&gt;&lt;accession-num&gt;WOS:000397328400016&lt;/accession-num&gt;&lt;urls&gt;&lt;related-urls&gt;&lt;url&gt;&amp;lt;Go to ISI&amp;gt;://WOS:000397328400016&lt;/url&gt;&lt;/related-urls&gt;&lt;/urls&gt;&lt;electronic-resource-num&gt;10.1016/j.celrep.2017.02.013&lt;/electronic-resource-num&gt;&lt;/record&gt;&lt;/Cite&gt;&lt;/EndNote&gt;</w:instrText>
      </w:r>
      <w:r w:rsidR="00A15710">
        <w:rPr>
          <w:rFonts w:ascii="Times New Roman" w:hAnsi="Times New Roman" w:cs="Times New Roman"/>
          <w:sz w:val="20"/>
          <w:szCs w:val="20"/>
          <w:lang w:val="en-US"/>
        </w:rPr>
        <w:fldChar w:fldCharType="separate"/>
      </w:r>
      <w:r w:rsidR="00A15710">
        <w:rPr>
          <w:rFonts w:ascii="Times New Roman" w:hAnsi="Times New Roman" w:cs="Times New Roman"/>
          <w:noProof/>
          <w:sz w:val="20"/>
          <w:szCs w:val="20"/>
          <w:lang w:val="en-US"/>
        </w:rPr>
        <w:t>(Rajbhandari et al., 2017)</w:t>
      </w:r>
      <w:r w:rsidR="00A15710">
        <w:rPr>
          <w:rFonts w:ascii="Times New Roman" w:hAnsi="Times New Roman" w:cs="Times New Roman"/>
          <w:sz w:val="20"/>
          <w:szCs w:val="20"/>
          <w:lang w:val="en-US"/>
        </w:rPr>
        <w:fldChar w:fldCharType="end"/>
      </w:r>
      <w:r w:rsidR="003E0758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="00A15710" w:rsidRPr="00A15710">
        <w:rPr>
          <w:rFonts w:ascii="Times New Roman" w:hAnsi="Times New Roman" w:cs="Times New Roman"/>
          <w:sz w:val="20"/>
          <w:szCs w:val="20"/>
          <w:lang w:val="en-US"/>
        </w:rPr>
        <w:t xml:space="preserve">Similarly, in non-small cell lung cancer, quiescent cancer stem cells depend on </w:t>
      </w:r>
      <w:proofErr w:type="spellStart"/>
      <w:r w:rsidR="00A15710" w:rsidRPr="00A15710">
        <w:rPr>
          <w:rFonts w:ascii="Times New Roman" w:hAnsi="Times New Roman" w:cs="Times New Roman"/>
          <w:sz w:val="20"/>
          <w:szCs w:val="20"/>
          <w:lang w:val="en-US"/>
        </w:rPr>
        <w:t>Bcl</w:t>
      </w:r>
      <w:proofErr w:type="spellEnd"/>
      <w:r w:rsidR="00A15710" w:rsidRPr="00A15710">
        <w:rPr>
          <w:rFonts w:ascii="Times New Roman" w:hAnsi="Times New Roman" w:cs="Times New Roman"/>
          <w:sz w:val="20"/>
          <w:szCs w:val="20"/>
          <w:lang w:val="en-US"/>
        </w:rPr>
        <w:t xml:space="preserve">-XL and treatment with the </w:t>
      </w:r>
      <w:proofErr w:type="spellStart"/>
      <w:r w:rsidR="00A15710" w:rsidRPr="00A15710">
        <w:rPr>
          <w:rFonts w:ascii="Times New Roman" w:hAnsi="Times New Roman" w:cs="Times New Roman"/>
          <w:sz w:val="20"/>
          <w:szCs w:val="20"/>
          <w:lang w:val="en-US"/>
        </w:rPr>
        <w:t>Bcl</w:t>
      </w:r>
      <w:proofErr w:type="spellEnd"/>
      <w:r w:rsidR="00A15710" w:rsidRPr="00A15710">
        <w:rPr>
          <w:rFonts w:ascii="Times New Roman" w:hAnsi="Times New Roman" w:cs="Times New Roman"/>
          <w:sz w:val="20"/>
          <w:szCs w:val="20"/>
          <w:lang w:val="en-US"/>
        </w:rPr>
        <w:t>-XL inhibitor</w:t>
      </w:r>
      <w:r w:rsidR="00A1571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A15710" w:rsidRPr="00A15710">
        <w:rPr>
          <w:rFonts w:ascii="Times New Roman" w:hAnsi="Times New Roman" w:cs="Times New Roman"/>
          <w:sz w:val="20"/>
          <w:szCs w:val="20"/>
          <w:lang w:val="en-US"/>
        </w:rPr>
        <w:t>ABT-737 eliminates them</w:t>
      </w:r>
      <w:r w:rsidR="008F257F">
        <w:rPr>
          <w:rFonts w:ascii="Times New Roman" w:hAnsi="Times New Roman" w:cs="Times New Roman"/>
          <w:sz w:val="20"/>
          <w:szCs w:val="20"/>
          <w:lang w:val="en-US"/>
        </w:rPr>
        <w:t xml:space="preserve"> effectively</w:t>
      </w:r>
      <w:r w:rsidR="00A1571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A15710">
        <w:rPr>
          <w:rFonts w:ascii="Times New Roman" w:hAnsi="Times New Roman" w:cs="Times New Roman"/>
          <w:sz w:val="20"/>
          <w:szCs w:val="20"/>
          <w:lang w:val="en-US"/>
        </w:rPr>
        <w:fldChar w:fldCharType="begin"/>
      </w:r>
      <w:r w:rsidR="00A15710">
        <w:rPr>
          <w:rFonts w:ascii="Times New Roman" w:hAnsi="Times New Roman" w:cs="Times New Roman"/>
          <w:sz w:val="20"/>
          <w:szCs w:val="20"/>
          <w:lang w:val="en-US"/>
        </w:rPr>
        <w:instrText xml:space="preserve"> ADDIN EN.CITE &lt;EndNote&gt;&lt;Cite&gt;&lt;Author&gt;Zeuner&lt;/Author&gt;&lt;Year&gt;2014&lt;/Year&gt;&lt;RecNum&gt;290&lt;/RecNum&gt;&lt;DisplayText&gt;(Zeuner et al., 2014)&lt;/DisplayText&gt;&lt;record&gt;&lt;rec-number&gt;290&lt;/rec-number&gt;&lt;foreign-keys&gt;&lt;key app="EN" db-id="vszs2sdzn0wrxnesffnpa5t0srarrpexaffz" timestamp="1743846059"&gt;290&lt;/key&gt;&lt;/foreign-keys&gt;&lt;ref-type name="Journal Article"&gt;17&lt;/ref-type&gt;&lt;contributors&gt;&lt;authors&gt;&lt;author&gt;Zeuner, A.&lt;/author&gt;&lt;author&gt;Francescangeli, F.&lt;/author&gt;&lt;author&gt;Contavalli, P.&lt;/author&gt;&lt;author&gt;Zapparelli, G.&lt;/author&gt;&lt;author&gt;Apuzzo, T.&lt;/author&gt;&lt;author&gt;Eramo, A.&lt;/author&gt;&lt;author&gt;Baiocchi, M.&lt;/author&gt;&lt;author&gt;De Angelis, M. L.&lt;/author&gt;&lt;author&gt;Biffoni, M.&lt;/author&gt;&lt;author&gt;Sette, G.&lt;/author&gt;&lt;author&gt;Todaro, M.&lt;/author&gt;&lt;author&gt;Stassi, G.&lt;/author&gt;&lt;author&gt;De Maria, R.&lt;/author&gt;&lt;/authors&gt;&lt;/contributors&gt;&lt;titles&gt;&lt;title&gt;Elimination of quiescent/slow-proliferating cancer stem cells by Bcl-XL inhibition in non-small cell lung cancer&lt;/title&gt;&lt;secondary-title&gt;Cell Death and Differentiation&lt;/secondary-title&gt;&lt;/titles&gt;&lt;periodical&gt;&lt;full-title&gt;Cell Death and Differentiation&lt;/full-title&gt;&lt;/periodical&gt;&lt;pages&gt;1877-1888&lt;/pages&gt;&lt;volume&gt;21&lt;/volume&gt;&lt;number&gt;12&lt;/number&gt;&lt;dates&gt;&lt;year&gt;2014&lt;/year&gt;&lt;pub-dates&gt;&lt;date&gt;Dec&lt;/date&gt;&lt;/pub-dates&gt;&lt;/dates&gt;&lt;isbn&gt;1350-9047&lt;/isbn&gt;&lt;accession-num&gt;WOS:000345016100005&lt;/accession-num&gt;&lt;urls&gt;&lt;related-urls&gt;&lt;url&gt;&amp;lt;Go to ISI&amp;gt;://WOS:000345016100005&lt;/url&gt;&lt;/related-urls&gt;&lt;/urls&gt;&lt;electronic-resource-num&gt;10.1038/cdd.2014.105&lt;/electronic-resource-num&gt;&lt;/record&gt;&lt;/Cite&gt;&lt;/EndNote&gt;</w:instrText>
      </w:r>
      <w:r w:rsidR="00A15710">
        <w:rPr>
          <w:rFonts w:ascii="Times New Roman" w:hAnsi="Times New Roman" w:cs="Times New Roman"/>
          <w:sz w:val="20"/>
          <w:szCs w:val="20"/>
          <w:lang w:val="en-US"/>
        </w:rPr>
        <w:fldChar w:fldCharType="separate"/>
      </w:r>
      <w:r w:rsidR="00A15710">
        <w:rPr>
          <w:rFonts w:ascii="Times New Roman" w:hAnsi="Times New Roman" w:cs="Times New Roman"/>
          <w:noProof/>
          <w:sz w:val="20"/>
          <w:szCs w:val="20"/>
          <w:lang w:val="en-US"/>
        </w:rPr>
        <w:t>(Zeuner et al., 2014)</w:t>
      </w:r>
      <w:r w:rsidR="00A15710">
        <w:rPr>
          <w:rFonts w:ascii="Times New Roman" w:hAnsi="Times New Roman" w:cs="Times New Roman"/>
          <w:sz w:val="20"/>
          <w:szCs w:val="20"/>
          <w:lang w:val="en-US"/>
        </w:rPr>
        <w:fldChar w:fldCharType="end"/>
      </w:r>
      <w:r w:rsidR="00A15710" w:rsidRPr="00A15710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2FDDBD2D" w14:textId="55D660B6" w:rsidR="00954B20" w:rsidRDefault="00011B7F" w:rsidP="00C63337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11B7F">
        <w:rPr>
          <w:rFonts w:ascii="Times New Roman" w:hAnsi="Times New Roman" w:cs="Times New Roman"/>
          <w:sz w:val="20"/>
          <w:szCs w:val="20"/>
          <w:lang w:val="en-US"/>
        </w:rPr>
        <w:t xml:space="preserve">On the opposite side, the </w:t>
      </w:r>
      <w:r w:rsidR="002C0360">
        <w:rPr>
          <w:rFonts w:ascii="Times New Roman" w:hAnsi="Times New Roman" w:cs="Times New Roman"/>
          <w:sz w:val="20"/>
          <w:szCs w:val="20"/>
          <w:lang w:val="en-US"/>
        </w:rPr>
        <w:t>‘</w:t>
      </w:r>
      <w:r w:rsidRPr="00011B7F">
        <w:rPr>
          <w:rFonts w:ascii="Times New Roman" w:hAnsi="Times New Roman" w:cs="Times New Roman"/>
          <w:sz w:val="20"/>
          <w:szCs w:val="20"/>
          <w:lang w:val="en-US"/>
        </w:rPr>
        <w:t>awakening strategy</w:t>
      </w:r>
      <w:r w:rsidR="002C0360">
        <w:rPr>
          <w:rFonts w:ascii="Times New Roman" w:hAnsi="Times New Roman" w:cs="Times New Roman"/>
          <w:sz w:val="20"/>
          <w:szCs w:val="20"/>
          <w:lang w:val="en-US"/>
        </w:rPr>
        <w:t>’</w:t>
      </w:r>
      <w:r w:rsidRPr="00011B7F">
        <w:rPr>
          <w:rFonts w:ascii="Times New Roman" w:hAnsi="Times New Roman" w:cs="Times New Roman"/>
          <w:sz w:val="20"/>
          <w:szCs w:val="20"/>
          <w:lang w:val="en-US"/>
        </w:rPr>
        <w:t xml:space="preserve"> aims to reactivate DCCs, forcing them to re-enter the cell cycle and become resensitized to anti-proliferative therapies. This approach relies on identifying and triggering intrinsic cellular pathways that mediate dormancy exit. In a mouse model of acute myeloid leukemia (AML), granulocyte colony-stimulating factor (G-CSF) was shown to induce cell cycle re-entry of quiescent AML stem cells, thereby enhancing their elimination when combined with chemotherapy </w:t>
      </w:r>
      <w:r w:rsidR="00DC04AB">
        <w:rPr>
          <w:rFonts w:ascii="Times New Roman" w:hAnsi="Times New Roman" w:cs="Times New Roman"/>
          <w:sz w:val="20"/>
          <w:szCs w:val="20"/>
          <w:lang w:val="en-US"/>
        </w:rPr>
        <w:fldChar w:fldCharType="begin"/>
      </w:r>
      <w:r w:rsidR="00DC04AB">
        <w:rPr>
          <w:rFonts w:ascii="Times New Roman" w:hAnsi="Times New Roman" w:cs="Times New Roman"/>
          <w:sz w:val="20"/>
          <w:szCs w:val="20"/>
          <w:lang w:val="en-US"/>
        </w:rPr>
        <w:instrText xml:space="preserve"> ADDIN EN.CITE &lt;EndNote&gt;&lt;Cite&gt;&lt;Author&gt;Saito&lt;/Author&gt;&lt;Year&gt;2010&lt;/Year&gt;&lt;RecNum&gt;291&lt;/RecNum&gt;&lt;DisplayText&gt;(Saito et al., 2010)&lt;/DisplayText&gt;&lt;record&gt;&lt;rec-number&gt;291&lt;/rec-number&gt;&lt;foreign-keys&gt;&lt;key app="EN" db-id="vszs2sdzn0wrxnesffnpa5t0srarrpexaffz" timestamp="1743865429"&gt;291&lt;/key&gt;&lt;/foreign-keys&gt;&lt;ref-type name="Journal Article"&gt;17&lt;/ref-type&gt;&lt;contributors&gt;&lt;authors&gt;&lt;author&gt;Saito, Y.&lt;/author&gt;&lt;author&gt;Uchida, N.&lt;/author&gt;&lt;author&gt;Tanaka, S.&lt;/author&gt;&lt;author&gt;Suzuki, N.&lt;/author&gt;&lt;author&gt;Tomizawa-Murasawa, M.&lt;/author&gt;&lt;author&gt;Sone, A.&lt;/author&gt;&lt;author&gt;Najima, Y.&lt;/author&gt;&lt;author&gt;Takagi, S.&lt;/author&gt;&lt;author&gt;Aoki, Y.&lt;/author&gt;&lt;author&gt;Wake, A.&lt;/author&gt;&lt;author&gt;Taniguchi, S.&lt;/author&gt;&lt;author&gt;Shultz, L. D.&lt;/author&gt;&lt;author&gt;Ishikawa, F.&lt;/author&gt;&lt;/authors&gt;&lt;/contributors&gt;&lt;titles&gt;&lt;title&gt;Induction of cell cycle entry eliminates human leukemia stem cells in a mouse model of AML&lt;/title&gt;&lt;secondary-title&gt;Nature Biotechnology&lt;/secondary-title&gt;&lt;/titles&gt;&lt;periodical&gt;&lt;full-title&gt;Nature Biotechnology&lt;/full-title&gt;&lt;/periodical&gt;&lt;pages&gt;275-U133&lt;/pages&gt;&lt;volume&gt;28&lt;/volume&gt;&lt;number&gt;3&lt;/number&gt;&lt;dates&gt;&lt;year&gt;2010&lt;/year&gt;&lt;pub-dates&gt;&lt;date&gt;Mar&lt;/date&gt;&lt;/pub-dates&gt;&lt;/dates&gt;&lt;isbn&gt;1087-0156&lt;/isbn&gt;&lt;accession-num&gt;WOS:000275288300027&lt;/accession-num&gt;&lt;urls&gt;&lt;related-urls&gt;&lt;url&gt;&amp;lt;Go to ISI&amp;gt;://WOS:000275288300027&lt;/url&gt;&lt;/related-urls&gt;&lt;/urls&gt;&lt;electronic-resource-num&gt;10.1038/nbt.1607&lt;/electronic-resource-num&gt;&lt;/record&gt;&lt;/Cite&gt;&lt;/EndNote&gt;</w:instrText>
      </w:r>
      <w:r w:rsidR="00DC04AB">
        <w:rPr>
          <w:rFonts w:ascii="Times New Roman" w:hAnsi="Times New Roman" w:cs="Times New Roman"/>
          <w:sz w:val="20"/>
          <w:szCs w:val="20"/>
          <w:lang w:val="en-US"/>
        </w:rPr>
        <w:fldChar w:fldCharType="separate"/>
      </w:r>
      <w:r w:rsidR="00DC04AB">
        <w:rPr>
          <w:rFonts w:ascii="Times New Roman" w:hAnsi="Times New Roman" w:cs="Times New Roman"/>
          <w:noProof/>
          <w:sz w:val="20"/>
          <w:szCs w:val="20"/>
          <w:lang w:val="en-US"/>
        </w:rPr>
        <w:t>(Saito et al., 2010)</w:t>
      </w:r>
      <w:r w:rsidR="00DC04AB">
        <w:rPr>
          <w:rFonts w:ascii="Times New Roman" w:hAnsi="Times New Roman" w:cs="Times New Roman"/>
          <w:sz w:val="20"/>
          <w:szCs w:val="20"/>
          <w:lang w:val="en-US"/>
        </w:rPr>
        <w:fldChar w:fldCharType="end"/>
      </w:r>
      <w:r w:rsidR="00DC04AB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011B7F">
        <w:rPr>
          <w:rFonts w:ascii="Times New Roman" w:hAnsi="Times New Roman" w:cs="Times New Roman"/>
          <w:sz w:val="20"/>
          <w:szCs w:val="20"/>
          <w:lang w:val="en-US"/>
        </w:rPr>
        <w:t>Similarly, interferon-α (IFN</w:t>
      </w:r>
      <w:r w:rsidRPr="00011B7F">
        <w:rPr>
          <w:rFonts w:ascii="Cambria Math" w:hAnsi="Cambria Math" w:cs="Cambria Math"/>
          <w:sz w:val="20"/>
          <w:szCs w:val="20"/>
          <w:lang w:val="en-US"/>
        </w:rPr>
        <w:t>⍺</w:t>
      </w:r>
      <w:r w:rsidRPr="00011B7F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treatment </w:t>
      </w:r>
      <w:r w:rsidRPr="00011B7F">
        <w:rPr>
          <w:rFonts w:ascii="Times New Roman" w:hAnsi="Times New Roman" w:cs="Times New Roman"/>
          <w:sz w:val="20"/>
          <w:szCs w:val="20"/>
          <w:lang w:val="en-US"/>
        </w:rPr>
        <w:t xml:space="preserve">has been found to activate dormant hematopoietic stem cells, increasing their susceptibility to 5-fluorouracil treatment </w:t>
      </w:r>
      <w:r w:rsidRPr="00011B7F">
        <w:rPr>
          <w:rFonts w:ascii="Times New Roman" w:hAnsi="Times New Roman" w:cs="Times New Roman"/>
          <w:sz w:val="20"/>
          <w:szCs w:val="20"/>
          <w:lang w:val="en-US"/>
        </w:rPr>
        <w:fldChar w:fldCharType="begin"/>
      </w:r>
      <w:r w:rsidRPr="00011B7F">
        <w:rPr>
          <w:rFonts w:ascii="Times New Roman" w:hAnsi="Times New Roman" w:cs="Times New Roman"/>
          <w:sz w:val="20"/>
          <w:szCs w:val="20"/>
          <w:lang w:val="en-US"/>
        </w:rPr>
        <w:instrText xml:space="preserve"> ADDIN EN.CITE &lt;EndNote&gt;&lt;Cite&gt;&lt;Author&gt;Essers&lt;/Author&gt;&lt;Year&gt;2009&lt;/Year&gt;&lt;RecNum&gt;292&lt;/RecNum&gt;&lt;DisplayText&gt;(Essers et al., 2009)&lt;/DisplayText&gt;&lt;record&gt;&lt;rec-number&gt;292&lt;/rec-number&gt;&lt;foreign-keys&gt;&lt;key app="EN" db-id="vszs2sdzn0wrxnesffnpa5t0srarrpexaffz" timestamp="1743866141"&gt;292&lt;/key&gt;&lt;/foreign-keys&gt;&lt;ref-type name="Journal Article"&gt;17&lt;/ref-type&gt;&lt;contributors&gt;&lt;authors&gt;&lt;author&gt;Essers, M. A. G.&lt;/author&gt;&lt;author&gt;Offner, S.&lt;/author&gt;&lt;author&gt;Blanco-Bose, W. E.&lt;/author&gt;&lt;author&gt;Waibler, Z.&lt;/author&gt;&lt;author&gt;Kalinke, U.&lt;/author&gt;&lt;author&gt;Duchosal, M. A.&lt;/author&gt;&lt;author&gt;Trumpp, A.&lt;/author&gt;&lt;/authors&gt;&lt;/contributors&gt;&lt;titles&gt;&lt;title&gt;IFNα activates dormant haematopoietic stem cells in vivo&lt;/title&gt;&lt;secondary-title&gt;Nature&lt;/secondary-title&gt;&lt;/titles&gt;&lt;periodical&gt;&lt;full-title&gt;Nature&lt;/full-title&gt;&lt;/periodical&gt;&lt;pages&gt;904-U11&lt;/pages&gt;&lt;volume&gt;458&lt;/volume&gt;&lt;number&gt;7240&lt;/number&gt;&lt;dates&gt;&lt;year&gt;2009&lt;/year&gt;&lt;pub-dates&gt;&lt;date&gt;Apr&lt;/date&gt;&lt;/pub-dates&gt;&lt;/dates&gt;&lt;isbn&gt;0028-0836&lt;/isbn&gt;&lt;accession-num&gt;WOS:000265182500046&lt;/accession-num&gt;&lt;urls&gt;&lt;related-urls&gt;&lt;url&gt;&amp;lt;Go to ISI&amp;gt;://WOS:000265182500046&lt;/url&gt;&lt;/related-urls&gt;&lt;/urls&gt;&lt;electronic-resource-num&gt;10.1038/nature07815&lt;/electronic-resource-num&gt;&lt;/record&gt;&lt;/Cite&gt;&lt;/EndNote&gt;</w:instrText>
      </w:r>
      <w:r w:rsidRPr="00011B7F">
        <w:rPr>
          <w:rFonts w:ascii="Times New Roman" w:hAnsi="Times New Roman" w:cs="Times New Roman"/>
          <w:sz w:val="20"/>
          <w:szCs w:val="20"/>
          <w:lang w:val="en-US"/>
        </w:rPr>
        <w:fldChar w:fldCharType="separate"/>
      </w:r>
      <w:r w:rsidRPr="00011B7F">
        <w:rPr>
          <w:rFonts w:ascii="Times New Roman" w:hAnsi="Times New Roman" w:cs="Times New Roman"/>
          <w:noProof/>
          <w:sz w:val="20"/>
          <w:szCs w:val="20"/>
          <w:lang w:val="en-US"/>
        </w:rPr>
        <w:t>(Essers et al., 2009)</w:t>
      </w:r>
      <w:r w:rsidRPr="00011B7F">
        <w:rPr>
          <w:rFonts w:ascii="Times New Roman" w:hAnsi="Times New Roman" w:cs="Times New Roman"/>
          <w:sz w:val="20"/>
          <w:szCs w:val="20"/>
          <w:lang w:val="en-US"/>
        </w:rPr>
        <w:fldChar w:fldCharType="end"/>
      </w:r>
      <w:r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363E30F2" w14:textId="3C68B2E2" w:rsidR="00675CEF" w:rsidRDefault="00B33F28" w:rsidP="00C63337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 w:hint="eastAsia"/>
          <w:sz w:val="20"/>
          <w:szCs w:val="20"/>
          <w:lang w:val="en-US"/>
        </w:rPr>
        <w:t>From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my own perspective, </w:t>
      </w:r>
      <w:r w:rsidR="00011B7F">
        <w:rPr>
          <w:rFonts w:ascii="Times New Roman" w:hAnsi="Times New Roman" w:cs="Times New Roman"/>
          <w:sz w:val="20"/>
          <w:szCs w:val="20"/>
          <w:lang w:val="en-US"/>
        </w:rPr>
        <w:t xml:space="preserve">the </w:t>
      </w:r>
      <w:r w:rsidR="002C0360">
        <w:rPr>
          <w:rFonts w:ascii="Times New Roman" w:hAnsi="Times New Roman" w:cs="Times New Roman"/>
          <w:sz w:val="20"/>
          <w:szCs w:val="20"/>
          <w:lang w:val="en-US"/>
        </w:rPr>
        <w:t>‘</w:t>
      </w:r>
      <w:r w:rsidR="00011B7F">
        <w:rPr>
          <w:rFonts w:ascii="Times New Roman" w:hAnsi="Times New Roman" w:cs="Times New Roman"/>
          <w:sz w:val="20"/>
          <w:szCs w:val="20"/>
          <w:lang w:val="en-US"/>
        </w:rPr>
        <w:t>sleeping strategy</w:t>
      </w:r>
      <w:r w:rsidR="002C0360">
        <w:rPr>
          <w:rFonts w:ascii="Times New Roman" w:hAnsi="Times New Roman" w:cs="Times New Roman"/>
          <w:sz w:val="20"/>
          <w:szCs w:val="20"/>
          <w:lang w:val="en-US"/>
        </w:rPr>
        <w:t>’</w:t>
      </w:r>
      <w:r w:rsidR="00011B7F">
        <w:rPr>
          <w:rFonts w:ascii="Times New Roman" w:hAnsi="Times New Roman" w:cs="Times New Roman"/>
          <w:sz w:val="20"/>
          <w:szCs w:val="20"/>
          <w:lang w:val="en-US"/>
        </w:rPr>
        <w:t xml:space="preserve"> is favored as the </w:t>
      </w:r>
      <w:r w:rsidR="002C0360">
        <w:rPr>
          <w:rFonts w:ascii="Times New Roman" w:hAnsi="Times New Roman" w:cs="Times New Roman"/>
          <w:sz w:val="20"/>
          <w:szCs w:val="20"/>
          <w:lang w:val="en-US"/>
        </w:rPr>
        <w:t>‘</w:t>
      </w:r>
      <w:r w:rsidR="00011B7F">
        <w:rPr>
          <w:rFonts w:ascii="Times New Roman" w:hAnsi="Times New Roman" w:cs="Times New Roman"/>
          <w:sz w:val="20"/>
          <w:szCs w:val="20"/>
          <w:lang w:val="en-US"/>
        </w:rPr>
        <w:t>awakening strategy</w:t>
      </w:r>
      <w:r w:rsidR="002C0360">
        <w:rPr>
          <w:rFonts w:ascii="Times New Roman" w:hAnsi="Times New Roman" w:cs="Times New Roman"/>
          <w:sz w:val="20"/>
          <w:szCs w:val="20"/>
          <w:lang w:val="en-US"/>
        </w:rPr>
        <w:t>’</w:t>
      </w:r>
      <w:r w:rsidR="00011B7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0E0592">
        <w:rPr>
          <w:rFonts w:ascii="Times New Roman" w:hAnsi="Times New Roman" w:cs="Times New Roman"/>
          <w:sz w:val="20"/>
          <w:szCs w:val="20"/>
          <w:lang w:val="en-US"/>
        </w:rPr>
        <w:t>involves</w:t>
      </w:r>
      <w:r w:rsidR="00EF2B5C">
        <w:rPr>
          <w:rFonts w:ascii="Times New Roman" w:hAnsi="Times New Roman" w:cs="Times New Roman"/>
          <w:sz w:val="20"/>
          <w:szCs w:val="20"/>
          <w:lang w:val="en-US"/>
        </w:rPr>
        <w:t xml:space="preserve"> rewiring of </w:t>
      </w:r>
      <w:r w:rsidR="000E0592">
        <w:rPr>
          <w:rFonts w:ascii="Times New Roman" w:hAnsi="Times New Roman" w:cs="Times New Roman"/>
          <w:sz w:val="20"/>
          <w:szCs w:val="20"/>
          <w:lang w:val="en-US"/>
        </w:rPr>
        <w:t xml:space="preserve">the </w:t>
      </w:r>
      <w:r w:rsidR="00EF2B5C">
        <w:rPr>
          <w:rFonts w:ascii="Times New Roman" w:hAnsi="Times New Roman" w:cs="Times New Roman"/>
          <w:sz w:val="20"/>
          <w:szCs w:val="20"/>
          <w:lang w:val="en-US"/>
        </w:rPr>
        <w:t xml:space="preserve">dormant cells to a proliferative state which </w:t>
      </w:r>
      <w:r w:rsidR="000E0592">
        <w:rPr>
          <w:rFonts w:ascii="Times New Roman" w:hAnsi="Times New Roman" w:cs="Times New Roman"/>
          <w:sz w:val="20"/>
          <w:szCs w:val="20"/>
          <w:lang w:val="en-US"/>
        </w:rPr>
        <w:t>could</w:t>
      </w:r>
      <w:r w:rsidR="00EF2B5C">
        <w:rPr>
          <w:rFonts w:ascii="Times New Roman" w:hAnsi="Times New Roman" w:cs="Times New Roman"/>
          <w:sz w:val="20"/>
          <w:szCs w:val="20"/>
          <w:lang w:val="en-US"/>
        </w:rPr>
        <w:t xml:space="preserve"> increase the metastatic burden and if not well-treated, may result in an earlier and more aggressive relapse. </w:t>
      </w:r>
      <w:r w:rsidR="000E0592">
        <w:rPr>
          <w:rFonts w:ascii="Times New Roman" w:hAnsi="Times New Roman" w:cs="Times New Roman"/>
          <w:sz w:val="20"/>
          <w:szCs w:val="20"/>
          <w:lang w:val="en-US"/>
        </w:rPr>
        <w:t>Furthermore</w:t>
      </w:r>
      <w:r w:rsidR="00EF2B5C">
        <w:rPr>
          <w:rFonts w:ascii="Times New Roman" w:hAnsi="Times New Roman" w:cs="Times New Roman"/>
          <w:sz w:val="20"/>
          <w:szCs w:val="20"/>
          <w:lang w:val="en-US"/>
        </w:rPr>
        <w:t>, I propose that combin</w:t>
      </w:r>
      <w:r w:rsidR="000E0592">
        <w:rPr>
          <w:rFonts w:ascii="Times New Roman" w:hAnsi="Times New Roman" w:cs="Times New Roman"/>
          <w:sz w:val="20"/>
          <w:szCs w:val="20"/>
          <w:lang w:val="en-US"/>
        </w:rPr>
        <w:t xml:space="preserve">ing </w:t>
      </w:r>
      <w:r w:rsidR="002C0360">
        <w:rPr>
          <w:rFonts w:ascii="Times New Roman" w:hAnsi="Times New Roman" w:cs="Times New Roman"/>
          <w:sz w:val="20"/>
          <w:szCs w:val="20"/>
          <w:lang w:val="en-US"/>
        </w:rPr>
        <w:t>‘</w:t>
      </w:r>
      <w:r w:rsidR="000E0592">
        <w:rPr>
          <w:rFonts w:ascii="Times New Roman" w:hAnsi="Times New Roman" w:cs="Times New Roman"/>
          <w:sz w:val="20"/>
          <w:szCs w:val="20"/>
          <w:lang w:val="en-US"/>
        </w:rPr>
        <w:t>sleeping</w:t>
      </w:r>
      <w:r w:rsidR="00EF2B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0E0592">
        <w:rPr>
          <w:rFonts w:ascii="Times New Roman" w:hAnsi="Times New Roman" w:cs="Times New Roman"/>
          <w:sz w:val="20"/>
          <w:szCs w:val="20"/>
          <w:lang w:val="en-US"/>
        </w:rPr>
        <w:t>strateg</w:t>
      </w:r>
      <w:r w:rsidR="002C0360">
        <w:rPr>
          <w:rFonts w:ascii="Times New Roman" w:hAnsi="Times New Roman" w:cs="Times New Roman"/>
          <w:sz w:val="20"/>
          <w:szCs w:val="20"/>
          <w:lang w:val="en-US"/>
        </w:rPr>
        <w:t>y’</w:t>
      </w:r>
      <w:r w:rsidR="000E0592">
        <w:rPr>
          <w:rFonts w:ascii="Times New Roman" w:hAnsi="Times New Roman" w:cs="Times New Roman"/>
          <w:sz w:val="20"/>
          <w:szCs w:val="20"/>
          <w:lang w:val="en-US"/>
        </w:rPr>
        <w:t xml:space="preserve"> with</w:t>
      </w:r>
      <w:r w:rsidR="00EF2B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0E0592">
        <w:rPr>
          <w:rFonts w:ascii="Times New Roman" w:hAnsi="Times New Roman" w:cs="Times New Roman"/>
          <w:sz w:val="20"/>
          <w:szCs w:val="20"/>
          <w:lang w:val="en-US"/>
        </w:rPr>
        <w:t>novel therapies, such as immunotherapies,</w:t>
      </w:r>
      <w:r w:rsidR="00675C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0E0592" w:rsidRPr="000E0592">
        <w:rPr>
          <w:rFonts w:ascii="Times New Roman" w:hAnsi="Times New Roman" w:cs="Times New Roman"/>
          <w:sz w:val="20"/>
          <w:szCs w:val="20"/>
          <w:lang w:val="en-US"/>
        </w:rPr>
        <w:t>represents a promising approach for treating DCCs. Studies suggest that immune evasion by DCCs may be due to limited interactions between DCCs and antigen-specific T cells, a challenge that could be addressed through T</w:t>
      </w:r>
      <w:r w:rsidR="007B0E95">
        <w:rPr>
          <w:rFonts w:ascii="Times New Roman" w:hAnsi="Times New Roman" w:cs="Times New Roman"/>
          <w:sz w:val="20"/>
          <w:szCs w:val="20"/>
          <w:lang w:val="en-US"/>
        </w:rPr>
        <w:t>-</w:t>
      </w:r>
      <w:r w:rsidR="000E0592" w:rsidRPr="000E0592">
        <w:rPr>
          <w:rFonts w:ascii="Times New Roman" w:hAnsi="Times New Roman" w:cs="Times New Roman"/>
          <w:sz w:val="20"/>
          <w:szCs w:val="20"/>
          <w:lang w:val="en-US"/>
        </w:rPr>
        <w:t>cell immunotherapies</w:t>
      </w:r>
      <w:r w:rsidR="00EF2B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EF2B5C">
        <w:rPr>
          <w:rFonts w:ascii="Times New Roman" w:hAnsi="Times New Roman" w:cs="Times New Roman"/>
          <w:sz w:val="20"/>
          <w:szCs w:val="20"/>
          <w:lang w:val="en-US"/>
        </w:rPr>
        <w:fldChar w:fldCharType="begin"/>
      </w:r>
      <w:r w:rsidR="00EF2B5C">
        <w:rPr>
          <w:rFonts w:ascii="Times New Roman" w:hAnsi="Times New Roman" w:cs="Times New Roman"/>
          <w:sz w:val="20"/>
          <w:szCs w:val="20"/>
          <w:lang w:val="en-US"/>
        </w:rPr>
        <w:instrText xml:space="preserve"> ADDIN EN.CITE &lt;EndNote&gt;&lt;Cite&gt;&lt;Author&gt;Goddard&lt;/Author&gt;&lt;Year&gt;2024&lt;/Year&gt;&lt;RecNum&gt;293&lt;/RecNum&gt;&lt;DisplayText&gt;(Goddard et al., 2024)&lt;/DisplayText&gt;&lt;record&gt;&lt;rec-number&gt;293&lt;/rec-number&gt;&lt;foreign-keys&gt;&lt;key app="EN" db-id="vszs2sdzn0wrxnesffnpa5t0srarrpexaffz" timestamp="1743867038"&gt;293&lt;/key&gt;&lt;/foreign-keys&gt;&lt;ref-type name="Journal Article"&gt;17&lt;/ref-type&gt;&lt;contributors&gt;&lt;authors&gt;&lt;author&gt;Goddard, E. T.&lt;/author&gt;&lt;author&gt;Linde, M. H.&lt;/author&gt;&lt;author&gt;Srivastava, S.&lt;/author&gt;&lt;author&gt;Klug, G.&lt;/author&gt;&lt;author&gt;Shabaneh, T. B.&lt;/author&gt;&lt;author&gt;Iannone, S.&lt;/author&gt;&lt;author&gt;Grzelak, C. A.&lt;/author&gt;&lt;author&gt;Marsh, S.&lt;/author&gt;&lt;author&gt;Riggio, A. I.&lt;/author&gt;&lt;author&gt;Shor, R. E.&lt;/author&gt;&lt;author&gt;Linde, I. L.&lt;/author&gt;&lt;author&gt;Guerrero, M.&lt;/author&gt;&lt;author&gt;Veatch, J. R.&lt;/author&gt;&lt;author&gt;Snyder, A. G.&lt;/author&gt;&lt;author&gt;Welm, A. L.&lt;/author&gt;&lt;author&gt;Riddell, S. R.&lt;/author&gt;&lt;author&gt;Ghajar, C. M.&lt;/author&gt;&lt;/authors&gt;&lt;/contributors&gt;&lt;titles&gt;&lt;title&gt;Immune evasion of dormant disseminated tumor cells is due to their scarcity and can be overcome by T cell immunotherapies&lt;/title&gt;&lt;secondary-title&gt;Cancer Cell&lt;/secondary-title&gt;&lt;/titles&gt;&lt;periodical&gt;&lt;full-title&gt;Cancer Cell&lt;/full-title&gt;&lt;/periodical&gt;&lt;volume&gt;42&lt;/volume&gt;&lt;number&gt;1&lt;/number&gt;&lt;dates&gt;&lt;year&gt;2024&lt;/year&gt;&lt;pub-dates&gt;&lt;date&gt;Jan&lt;/date&gt;&lt;/pub-dates&gt;&lt;/dates&gt;&lt;isbn&gt;1535-6108&lt;/isbn&gt;&lt;accession-num&gt;WOS:001154574500001&lt;/accession-num&gt;&lt;urls&gt;&lt;related-urls&gt;&lt;url&gt;&amp;lt;Go to ISI&amp;gt;://WOS:001154574500001&lt;/url&gt;&lt;/related-urls&gt;&lt;/urls&gt;&lt;electronic-resource-num&gt;10.1016/j.ccell.2023.12.011&lt;/electronic-resource-num&gt;&lt;/record&gt;&lt;/Cite&gt;&lt;/EndNote&gt;</w:instrText>
      </w:r>
      <w:r w:rsidR="00EF2B5C">
        <w:rPr>
          <w:rFonts w:ascii="Times New Roman" w:hAnsi="Times New Roman" w:cs="Times New Roman"/>
          <w:sz w:val="20"/>
          <w:szCs w:val="20"/>
          <w:lang w:val="en-US"/>
        </w:rPr>
        <w:fldChar w:fldCharType="separate"/>
      </w:r>
      <w:r w:rsidR="00EF2B5C">
        <w:rPr>
          <w:rFonts w:ascii="Times New Roman" w:hAnsi="Times New Roman" w:cs="Times New Roman"/>
          <w:noProof/>
          <w:sz w:val="20"/>
          <w:szCs w:val="20"/>
          <w:lang w:val="en-US"/>
        </w:rPr>
        <w:t>(Goddard et al., 2024)</w:t>
      </w:r>
      <w:r w:rsidR="00EF2B5C">
        <w:rPr>
          <w:rFonts w:ascii="Times New Roman" w:hAnsi="Times New Roman" w:cs="Times New Roman"/>
          <w:sz w:val="20"/>
          <w:szCs w:val="20"/>
          <w:lang w:val="en-US"/>
        </w:rPr>
        <w:fldChar w:fldCharType="end"/>
      </w:r>
      <w:r w:rsidR="00EF2B5C">
        <w:rPr>
          <w:rFonts w:ascii="Times New Roman" w:hAnsi="Times New Roman" w:cs="Times New Roman"/>
          <w:sz w:val="20"/>
          <w:szCs w:val="20"/>
          <w:lang w:val="en-US"/>
        </w:rPr>
        <w:t>.</w:t>
      </w:r>
      <w:r w:rsidR="000E059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675CEF">
        <w:rPr>
          <w:rFonts w:ascii="Times New Roman" w:hAnsi="Times New Roman" w:cs="Times New Roman"/>
          <w:sz w:val="20"/>
          <w:szCs w:val="20"/>
          <w:lang w:val="en-US"/>
        </w:rPr>
        <w:t xml:space="preserve">With the development of artificial intelligence, AI could help predict where the DCCs are most likely to relocate for </w:t>
      </w:r>
      <w:r w:rsidR="002262A9">
        <w:rPr>
          <w:rFonts w:ascii="Times New Roman" w:hAnsi="Times New Roman" w:cs="Times New Roman"/>
          <w:sz w:val="20"/>
          <w:szCs w:val="20"/>
          <w:lang w:val="en-US"/>
        </w:rPr>
        <w:t>specific</w:t>
      </w:r>
      <w:r w:rsidR="00675CEF">
        <w:rPr>
          <w:rFonts w:ascii="Times New Roman" w:hAnsi="Times New Roman" w:cs="Times New Roman"/>
          <w:sz w:val="20"/>
          <w:szCs w:val="20"/>
          <w:lang w:val="en-US"/>
        </w:rPr>
        <w:t xml:space="preserve"> tumor type</w:t>
      </w:r>
      <w:r w:rsidR="007B0E95">
        <w:rPr>
          <w:rFonts w:ascii="Times New Roman" w:hAnsi="Times New Roman" w:cs="Times New Roman"/>
          <w:sz w:val="20"/>
          <w:szCs w:val="20"/>
          <w:lang w:val="en-US"/>
        </w:rPr>
        <w:t>s</w:t>
      </w:r>
      <w:r w:rsidR="00675CE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="00825660">
        <w:rPr>
          <w:rFonts w:ascii="Times New Roman" w:hAnsi="Times New Roman" w:cs="Times New Roman"/>
          <w:sz w:val="20"/>
          <w:szCs w:val="20"/>
          <w:lang w:val="en-US"/>
        </w:rPr>
        <w:t>enabling chance</w:t>
      </w:r>
      <w:r w:rsidR="007B0E95">
        <w:rPr>
          <w:rFonts w:ascii="Times New Roman" w:hAnsi="Times New Roman" w:cs="Times New Roman"/>
          <w:sz w:val="20"/>
          <w:szCs w:val="20"/>
          <w:lang w:val="en-US"/>
        </w:rPr>
        <w:t>s</w:t>
      </w:r>
      <w:r w:rsidR="00825660">
        <w:rPr>
          <w:rFonts w:ascii="Times New Roman" w:hAnsi="Times New Roman" w:cs="Times New Roman"/>
          <w:sz w:val="20"/>
          <w:szCs w:val="20"/>
          <w:lang w:val="en-US"/>
        </w:rPr>
        <w:t xml:space="preserve"> for</w:t>
      </w:r>
      <w:r w:rsidR="00675CEF">
        <w:rPr>
          <w:rFonts w:ascii="Times New Roman" w:hAnsi="Times New Roman" w:cs="Times New Roman"/>
          <w:sz w:val="20"/>
          <w:szCs w:val="20"/>
          <w:lang w:val="en-US"/>
        </w:rPr>
        <w:t xml:space="preserve"> proactive prevention.</w:t>
      </w:r>
      <w:r w:rsidR="0082566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675CEF" w:rsidRPr="00675CEF">
        <w:rPr>
          <w:rFonts w:ascii="Times New Roman" w:hAnsi="Times New Roman" w:cs="Times New Roman"/>
          <w:sz w:val="20"/>
          <w:szCs w:val="20"/>
          <w:lang w:val="en-US"/>
        </w:rPr>
        <w:t>With the advancement of precision oncology, a personalized approach tailored to each patient’s specific molecular cancer type c</w:t>
      </w:r>
      <w:r w:rsidR="00675CEF">
        <w:rPr>
          <w:rFonts w:ascii="Times New Roman" w:hAnsi="Times New Roman" w:cs="Times New Roman"/>
          <w:sz w:val="20"/>
          <w:szCs w:val="20"/>
          <w:lang w:val="en-US"/>
        </w:rPr>
        <w:t>ould</w:t>
      </w:r>
      <w:r w:rsidR="00675CEF" w:rsidRPr="00675CEF">
        <w:rPr>
          <w:rFonts w:ascii="Times New Roman" w:hAnsi="Times New Roman" w:cs="Times New Roman"/>
          <w:sz w:val="20"/>
          <w:szCs w:val="20"/>
          <w:lang w:val="en-US"/>
        </w:rPr>
        <w:t xml:space="preserve"> be</w:t>
      </w:r>
      <w:r w:rsidR="00825660">
        <w:rPr>
          <w:rFonts w:ascii="Times New Roman" w:hAnsi="Times New Roman" w:cs="Times New Roman"/>
          <w:sz w:val="20"/>
          <w:szCs w:val="20"/>
          <w:lang w:val="en-US"/>
        </w:rPr>
        <w:t xml:space="preserve"> integrated</w:t>
      </w:r>
      <w:r w:rsidR="00C63337">
        <w:rPr>
          <w:rFonts w:ascii="Times New Roman" w:hAnsi="Times New Roman" w:cs="Times New Roman"/>
          <w:sz w:val="20"/>
          <w:szCs w:val="20"/>
          <w:lang w:val="en-US"/>
        </w:rPr>
        <w:t>:</w:t>
      </w:r>
      <w:r w:rsidR="00825660">
        <w:rPr>
          <w:rFonts w:ascii="Times New Roman" w:hAnsi="Times New Roman" w:cs="Times New Roman"/>
          <w:sz w:val="20"/>
          <w:szCs w:val="20"/>
          <w:lang w:val="en-US"/>
        </w:rPr>
        <w:t xml:space="preserve"> a ‘magical </w:t>
      </w:r>
      <w:r w:rsidR="000F013E">
        <w:rPr>
          <w:rFonts w:ascii="Times New Roman" w:hAnsi="Times New Roman" w:cs="Times New Roman" w:hint="eastAsia"/>
          <w:sz w:val="20"/>
          <w:szCs w:val="20"/>
          <w:lang w:val="en-US"/>
        </w:rPr>
        <w:t>bullet</w:t>
      </w:r>
      <w:r w:rsidR="00825660">
        <w:rPr>
          <w:rFonts w:ascii="Times New Roman" w:hAnsi="Times New Roman" w:cs="Times New Roman"/>
          <w:sz w:val="20"/>
          <w:szCs w:val="20"/>
          <w:lang w:val="en-US"/>
        </w:rPr>
        <w:t xml:space="preserve">’ containing modified T cells targeting neoantigens identified from the primary tumor </w:t>
      </w:r>
      <w:r w:rsidR="001B7997">
        <w:rPr>
          <w:rFonts w:ascii="Times New Roman" w:hAnsi="Times New Roman" w:cs="Times New Roman"/>
          <w:sz w:val="20"/>
          <w:szCs w:val="20"/>
          <w:lang w:val="en-US"/>
        </w:rPr>
        <w:t xml:space="preserve">could be </w:t>
      </w:r>
      <w:r w:rsidR="001B7997" w:rsidRPr="001B7997">
        <w:rPr>
          <w:rFonts w:ascii="Times New Roman" w:hAnsi="Times New Roman" w:cs="Times New Roman"/>
          <w:sz w:val="20"/>
          <w:szCs w:val="20"/>
          <w:lang w:val="en-US"/>
        </w:rPr>
        <w:t xml:space="preserve">delivered directly to the predicted sites of potential </w:t>
      </w:r>
      <w:r w:rsidR="001B7997">
        <w:rPr>
          <w:rFonts w:ascii="Times New Roman" w:hAnsi="Times New Roman" w:cs="Times New Roman"/>
          <w:sz w:val="20"/>
          <w:szCs w:val="20"/>
          <w:lang w:val="en-US"/>
        </w:rPr>
        <w:t xml:space="preserve">disseminated </w:t>
      </w:r>
      <w:r w:rsidR="001B7997" w:rsidRPr="001B7997">
        <w:rPr>
          <w:rFonts w:ascii="Times New Roman" w:hAnsi="Times New Roman" w:cs="Times New Roman"/>
          <w:sz w:val="20"/>
          <w:szCs w:val="20"/>
          <w:lang w:val="en-US"/>
        </w:rPr>
        <w:t>DCC niches</w:t>
      </w:r>
      <w:r w:rsidR="001B7997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="00825660">
        <w:rPr>
          <w:rFonts w:ascii="Times New Roman" w:hAnsi="Times New Roman" w:cs="Times New Roman"/>
          <w:sz w:val="20"/>
          <w:szCs w:val="20"/>
          <w:lang w:val="en-US"/>
        </w:rPr>
        <w:t xml:space="preserve">together with ‘sleeping strategy’ to prevent metastatic relapse. </w:t>
      </w:r>
    </w:p>
    <w:p w14:paraId="01DBCA51" w14:textId="46930D3E" w:rsidR="00DA51E3" w:rsidRDefault="00DA51E3" w:rsidP="00675CEF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References</w:t>
      </w:r>
    </w:p>
    <w:p w14:paraId="03FBB92B" w14:textId="77777777" w:rsidR="00EF2B5C" w:rsidRPr="00EF2B5C" w:rsidRDefault="00DA51E3" w:rsidP="00EF2B5C">
      <w:pPr>
        <w:pStyle w:val="EndNoteBibliography"/>
        <w:spacing w:after="0"/>
        <w:ind w:left="720" w:hanging="720"/>
        <w:rPr>
          <w:noProof/>
        </w:rPr>
      </w:pPr>
      <w:r>
        <w:rPr>
          <w:b/>
          <w:bCs/>
          <w:lang w:val="en-US"/>
        </w:rPr>
        <w:fldChar w:fldCharType="begin"/>
      </w:r>
      <w:r>
        <w:rPr>
          <w:b/>
          <w:bCs/>
          <w:lang w:val="en-US"/>
        </w:rPr>
        <w:instrText xml:space="preserve"> ADDIN EN.REFLIST </w:instrText>
      </w:r>
      <w:r>
        <w:rPr>
          <w:b/>
          <w:bCs/>
          <w:lang w:val="en-US"/>
        </w:rPr>
        <w:fldChar w:fldCharType="separate"/>
      </w:r>
      <w:r w:rsidR="00EF2B5C" w:rsidRPr="00EF2B5C">
        <w:rPr>
          <w:noProof/>
        </w:rPr>
        <w:t xml:space="preserve">DILLEKÅS, H., ROGERS, M. S. &amp; STRAUME, O. 2019. Are 90% of deaths from cancer caused by metastases? </w:t>
      </w:r>
      <w:r w:rsidR="00EF2B5C" w:rsidRPr="00EF2B5C">
        <w:rPr>
          <w:i/>
          <w:noProof/>
        </w:rPr>
        <w:t>Cancer Medicine,</w:t>
      </w:r>
      <w:r w:rsidR="00EF2B5C" w:rsidRPr="00EF2B5C">
        <w:rPr>
          <w:noProof/>
        </w:rPr>
        <w:t xml:space="preserve"> 8</w:t>
      </w:r>
      <w:r w:rsidR="00EF2B5C" w:rsidRPr="00EF2B5C">
        <w:rPr>
          <w:b/>
          <w:noProof/>
        </w:rPr>
        <w:t>,</w:t>
      </w:r>
      <w:r w:rsidR="00EF2B5C" w:rsidRPr="00EF2B5C">
        <w:rPr>
          <w:noProof/>
        </w:rPr>
        <w:t xml:space="preserve"> 5574-5576.</w:t>
      </w:r>
    </w:p>
    <w:p w14:paraId="3FCCEBB9" w14:textId="77777777" w:rsidR="00EF2B5C" w:rsidRPr="00EF2B5C" w:rsidRDefault="00EF2B5C" w:rsidP="00EF2B5C">
      <w:pPr>
        <w:pStyle w:val="EndNoteBibliography"/>
        <w:spacing w:after="0"/>
        <w:ind w:left="720" w:hanging="720"/>
        <w:rPr>
          <w:noProof/>
        </w:rPr>
      </w:pPr>
      <w:r w:rsidRPr="00EF2B5C">
        <w:rPr>
          <w:noProof/>
        </w:rPr>
        <w:t xml:space="preserve">ESSERS, M. A. G., OFFNER, S., BLANCO-BOSE, W. E., WAIBLER, Z., KALINKE, U., DUCHOSAL, M. A. &amp; TRUMPP, A. 2009. IFNα activates dormant haematopoietic stem cells in vivo. </w:t>
      </w:r>
      <w:r w:rsidRPr="00EF2B5C">
        <w:rPr>
          <w:i/>
          <w:noProof/>
        </w:rPr>
        <w:t>Nature,</w:t>
      </w:r>
      <w:r w:rsidRPr="00EF2B5C">
        <w:rPr>
          <w:noProof/>
        </w:rPr>
        <w:t xml:space="preserve"> 458</w:t>
      </w:r>
      <w:r w:rsidRPr="00EF2B5C">
        <w:rPr>
          <w:b/>
          <w:noProof/>
        </w:rPr>
        <w:t>,</w:t>
      </w:r>
      <w:r w:rsidRPr="00EF2B5C">
        <w:rPr>
          <w:noProof/>
        </w:rPr>
        <w:t xml:space="preserve"> 904-U11.</w:t>
      </w:r>
    </w:p>
    <w:p w14:paraId="036A3457" w14:textId="77777777" w:rsidR="00EF2B5C" w:rsidRPr="00EF2B5C" w:rsidRDefault="00EF2B5C" w:rsidP="00EF2B5C">
      <w:pPr>
        <w:pStyle w:val="EndNoteBibliography"/>
        <w:spacing w:after="0"/>
        <w:ind w:left="720" w:hanging="720"/>
        <w:rPr>
          <w:noProof/>
        </w:rPr>
      </w:pPr>
      <w:r w:rsidRPr="00EF2B5C">
        <w:rPr>
          <w:noProof/>
        </w:rPr>
        <w:t xml:space="preserve">GODDARD, E. T., LINDE, M. H., SRIVASTAVA, S., KLUG, G., SHABANEH, T. B., IANNONE, S., GRZELAK, C. A., MARSH, S., RIGGIO, A. I., SHOR, R. E., LINDE, I. L., GUERRERO, M., VEATCH, J. R., SNYDER, A. G., WELM, A. L., RIDDELL, S. R. &amp; GHAJAR, C. M. 2024. Immune evasion of dormant disseminated tumor cells is due to their scarcity and can be overcome by T cell immunotherapies. </w:t>
      </w:r>
      <w:r w:rsidRPr="00EF2B5C">
        <w:rPr>
          <w:i/>
          <w:noProof/>
        </w:rPr>
        <w:t>Cancer Cell,</w:t>
      </w:r>
      <w:r w:rsidRPr="00EF2B5C">
        <w:rPr>
          <w:noProof/>
        </w:rPr>
        <w:t xml:space="preserve"> 42.</w:t>
      </w:r>
    </w:p>
    <w:p w14:paraId="731ABA8C" w14:textId="77777777" w:rsidR="00EF2B5C" w:rsidRPr="00EF2B5C" w:rsidRDefault="00EF2B5C" w:rsidP="00EF2B5C">
      <w:pPr>
        <w:pStyle w:val="EndNoteBibliography"/>
        <w:spacing w:after="0"/>
        <w:ind w:left="720" w:hanging="720"/>
        <w:rPr>
          <w:noProof/>
        </w:rPr>
      </w:pPr>
      <w:r w:rsidRPr="00EF2B5C">
        <w:rPr>
          <w:noProof/>
        </w:rPr>
        <w:t xml:space="preserve">HADFIELD, G. 1954. The Dormant Cancer Cell. </w:t>
      </w:r>
      <w:r w:rsidRPr="00EF2B5C">
        <w:rPr>
          <w:i/>
          <w:noProof/>
        </w:rPr>
        <w:t>British Medical Journal,</w:t>
      </w:r>
      <w:r w:rsidRPr="00EF2B5C">
        <w:rPr>
          <w:noProof/>
        </w:rPr>
        <w:t xml:space="preserve"> 2</w:t>
      </w:r>
      <w:r w:rsidRPr="00EF2B5C">
        <w:rPr>
          <w:b/>
          <w:noProof/>
        </w:rPr>
        <w:t>,</w:t>
      </w:r>
      <w:r w:rsidRPr="00EF2B5C">
        <w:rPr>
          <w:noProof/>
        </w:rPr>
        <w:t xml:space="preserve"> 607-610.</w:t>
      </w:r>
    </w:p>
    <w:p w14:paraId="63B24814" w14:textId="77777777" w:rsidR="00EF2B5C" w:rsidRPr="00EF2B5C" w:rsidRDefault="00EF2B5C" w:rsidP="00EF2B5C">
      <w:pPr>
        <w:pStyle w:val="EndNoteBibliography"/>
        <w:spacing w:after="0"/>
        <w:ind w:left="720" w:hanging="720"/>
        <w:rPr>
          <w:noProof/>
        </w:rPr>
      </w:pPr>
      <w:r w:rsidRPr="00EF2B5C">
        <w:rPr>
          <w:noProof/>
        </w:rPr>
        <w:t xml:space="preserve">O'LEARY, B., FINN, R. S. &amp; TURNER, N. C. 2016. Treating cancer with selective CDK4/6 inhibitors. </w:t>
      </w:r>
      <w:r w:rsidRPr="00EF2B5C">
        <w:rPr>
          <w:i/>
          <w:noProof/>
        </w:rPr>
        <w:t>Nature Reviews Clinical Oncology,</w:t>
      </w:r>
      <w:r w:rsidRPr="00EF2B5C">
        <w:rPr>
          <w:noProof/>
        </w:rPr>
        <w:t xml:space="preserve"> 13</w:t>
      </w:r>
      <w:r w:rsidRPr="00EF2B5C">
        <w:rPr>
          <w:b/>
          <w:noProof/>
        </w:rPr>
        <w:t>,</w:t>
      </w:r>
      <w:r w:rsidRPr="00EF2B5C">
        <w:rPr>
          <w:noProof/>
        </w:rPr>
        <w:t xml:space="preserve"> 417-430.</w:t>
      </w:r>
    </w:p>
    <w:p w14:paraId="284297BF" w14:textId="77777777" w:rsidR="00EF2B5C" w:rsidRPr="00EF2B5C" w:rsidRDefault="00EF2B5C" w:rsidP="00EF2B5C">
      <w:pPr>
        <w:pStyle w:val="EndNoteBibliography"/>
        <w:spacing w:after="0"/>
        <w:ind w:left="720" w:hanging="720"/>
        <w:rPr>
          <w:noProof/>
        </w:rPr>
      </w:pPr>
      <w:r w:rsidRPr="00EF2B5C">
        <w:rPr>
          <w:noProof/>
        </w:rPr>
        <w:t xml:space="preserve">RAJBHANDARI, N., LIN, W. C., WEHDE, B. L., TRIPLETT, A. A. &amp; WAGNER, K. U. 2017. Autocrine IGF1 Signaling Mediates Pancreatic Tumor Cell Dormancy in the Absence of Oncogenic Drivers. </w:t>
      </w:r>
      <w:r w:rsidRPr="00EF2B5C">
        <w:rPr>
          <w:i/>
          <w:noProof/>
        </w:rPr>
        <w:t>Cell Reports,</w:t>
      </w:r>
      <w:r w:rsidRPr="00EF2B5C">
        <w:rPr>
          <w:noProof/>
        </w:rPr>
        <w:t xml:space="preserve"> 18</w:t>
      </w:r>
      <w:r w:rsidRPr="00EF2B5C">
        <w:rPr>
          <w:b/>
          <w:noProof/>
        </w:rPr>
        <w:t>,</w:t>
      </w:r>
      <w:r w:rsidRPr="00EF2B5C">
        <w:rPr>
          <w:noProof/>
        </w:rPr>
        <w:t xml:space="preserve"> 2243-2255.</w:t>
      </w:r>
    </w:p>
    <w:p w14:paraId="51ED97B8" w14:textId="77777777" w:rsidR="00EF2B5C" w:rsidRPr="00EF2B5C" w:rsidRDefault="00EF2B5C" w:rsidP="00EF2B5C">
      <w:pPr>
        <w:pStyle w:val="EndNoteBibliography"/>
        <w:spacing w:after="0"/>
        <w:ind w:left="720" w:hanging="720"/>
        <w:rPr>
          <w:noProof/>
        </w:rPr>
      </w:pPr>
      <w:r w:rsidRPr="00EF2B5C">
        <w:rPr>
          <w:noProof/>
        </w:rPr>
        <w:t xml:space="preserve">SAITO, Y., UCHIDA, N., TANAKA, S., SUZUKI, N., TOMIZAWA-MURASAWA, M., SONE, A., NAJIMA, Y., TAKAGI, S., AOKI, Y., WAKE, A., TANIGUCHI, S., SHULTZ, L. D. &amp; ISHIKAWA, F. 2010. Induction of cell cycle entry eliminates human leukemia stem cells in a mouse model of AML. </w:t>
      </w:r>
      <w:r w:rsidRPr="00EF2B5C">
        <w:rPr>
          <w:i/>
          <w:noProof/>
        </w:rPr>
        <w:t>Nature Biotechnology,</w:t>
      </w:r>
      <w:r w:rsidRPr="00EF2B5C">
        <w:rPr>
          <w:noProof/>
        </w:rPr>
        <w:t xml:space="preserve"> 28</w:t>
      </w:r>
      <w:r w:rsidRPr="00EF2B5C">
        <w:rPr>
          <w:b/>
          <w:noProof/>
        </w:rPr>
        <w:t>,</w:t>
      </w:r>
      <w:r w:rsidRPr="00EF2B5C">
        <w:rPr>
          <w:noProof/>
        </w:rPr>
        <w:t xml:space="preserve"> 275-U133.</w:t>
      </w:r>
    </w:p>
    <w:p w14:paraId="7B77EFCC" w14:textId="77777777" w:rsidR="00EF2B5C" w:rsidRPr="00EF2B5C" w:rsidRDefault="00EF2B5C" w:rsidP="00EF2B5C">
      <w:pPr>
        <w:pStyle w:val="EndNoteBibliography"/>
        <w:spacing w:after="0"/>
        <w:ind w:left="720" w:hanging="720"/>
        <w:rPr>
          <w:noProof/>
        </w:rPr>
      </w:pPr>
      <w:r w:rsidRPr="00EF2B5C">
        <w:rPr>
          <w:noProof/>
        </w:rPr>
        <w:t xml:space="preserve">SALVADOR-BARBERO, B., ALVAREZ-FERNÁNDEZ, M., ZAPATERO-SOLANA, E., EL BAKKALI, A., MENÉNDEZ, M. D., LÓPEZ-CASAS, P. P., DI DOMENICO, T., XIE, T., VANARSDALE, T., SHIELDS, D. J., HIDALGO, M. &amp; MALUMBRES, M. 2020. CDK4/6 Inhibitors Impair Recovery from Cytotoxic Chemotherapy in Pancreatic Adenocarcinoma. </w:t>
      </w:r>
      <w:r w:rsidRPr="00EF2B5C">
        <w:rPr>
          <w:i/>
          <w:noProof/>
        </w:rPr>
        <w:t>Cancer Cell,</w:t>
      </w:r>
      <w:r w:rsidRPr="00EF2B5C">
        <w:rPr>
          <w:noProof/>
        </w:rPr>
        <w:t xml:space="preserve"> 37</w:t>
      </w:r>
      <w:r w:rsidRPr="00EF2B5C">
        <w:rPr>
          <w:b/>
          <w:noProof/>
        </w:rPr>
        <w:t>,</w:t>
      </w:r>
      <w:r w:rsidRPr="00EF2B5C">
        <w:rPr>
          <w:noProof/>
        </w:rPr>
        <w:t xml:space="preserve"> 340-+.</w:t>
      </w:r>
    </w:p>
    <w:p w14:paraId="4F0E7C54" w14:textId="77777777" w:rsidR="00EF2B5C" w:rsidRPr="00EF2B5C" w:rsidRDefault="00EF2B5C" w:rsidP="00EF2B5C">
      <w:pPr>
        <w:pStyle w:val="EndNoteBibliography"/>
        <w:spacing w:after="0"/>
        <w:ind w:left="720" w:hanging="720"/>
        <w:rPr>
          <w:noProof/>
        </w:rPr>
      </w:pPr>
      <w:r w:rsidRPr="00EF2B5C">
        <w:rPr>
          <w:noProof/>
        </w:rPr>
        <w:t xml:space="preserve">SÁNCHEZ-DANÉS, A., LARSIMONT, J. C., LIAGRE, M., MUÑOZ-COUSELO, E., LAPOUGE, G., BRISEBARRE, A., DUBOIS, C., SUPPA, M., SUKUMARAN, V., DEL MARMOL, V., TABERNERO, J. &amp; BLANPAIN, C. 2018. A slow-cycling LGR5 tumour population mediates basal cell carcinoma relapse after therapy. </w:t>
      </w:r>
      <w:r w:rsidRPr="00EF2B5C">
        <w:rPr>
          <w:i/>
          <w:noProof/>
        </w:rPr>
        <w:t>Nature,</w:t>
      </w:r>
      <w:r w:rsidRPr="00EF2B5C">
        <w:rPr>
          <w:noProof/>
        </w:rPr>
        <w:t xml:space="preserve"> 562</w:t>
      </w:r>
      <w:r w:rsidRPr="00EF2B5C">
        <w:rPr>
          <w:b/>
          <w:noProof/>
        </w:rPr>
        <w:t>,</w:t>
      </w:r>
      <w:r w:rsidRPr="00EF2B5C">
        <w:rPr>
          <w:noProof/>
        </w:rPr>
        <w:t xml:space="preserve"> 434-+.</w:t>
      </w:r>
    </w:p>
    <w:p w14:paraId="03A10CB0" w14:textId="77777777" w:rsidR="00EF2B5C" w:rsidRPr="00EF2B5C" w:rsidRDefault="00EF2B5C" w:rsidP="00EF2B5C">
      <w:pPr>
        <w:pStyle w:val="EndNoteBibliography"/>
        <w:spacing w:after="0"/>
        <w:ind w:left="720" w:hanging="720"/>
        <w:rPr>
          <w:noProof/>
        </w:rPr>
      </w:pPr>
      <w:r w:rsidRPr="00EF2B5C">
        <w:rPr>
          <w:noProof/>
        </w:rPr>
        <w:t xml:space="preserve">SANTOS-DE-FRUTOS, K. &amp; DJOUDER, N. 2021. When dormancy fuels tumour relapse. </w:t>
      </w:r>
      <w:r w:rsidRPr="00EF2B5C">
        <w:rPr>
          <w:i/>
          <w:noProof/>
        </w:rPr>
        <w:t>Communications Biology,</w:t>
      </w:r>
      <w:r w:rsidRPr="00EF2B5C">
        <w:rPr>
          <w:noProof/>
        </w:rPr>
        <w:t xml:space="preserve"> 4.</w:t>
      </w:r>
    </w:p>
    <w:p w14:paraId="4A4F4213" w14:textId="77777777" w:rsidR="00EF2B5C" w:rsidRPr="00EF2B5C" w:rsidRDefault="00EF2B5C" w:rsidP="00EF2B5C">
      <w:pPr>
        <w:pStyle w:val="EndNoteBibliography"/>
        <w:ind w:left="720" w:hanging="720"/>
        <w:rPr>
          <w:noProof/>
        </w:rPr>
      </w:pPr>
      <w:r w:rsidRPr="00EF2B5C">
        <w:rPr>
          <w:noProof/>
        </w:rPr>
        <w:t xml:space="preserve">ZEUNER, A., FRANCESCANGELI, F., CONTAVALLI, P., ZAPPARELLI, G., APUZZO, T., ERAMO, A., BAIOCCHI, M., DE ANGELIS, M. L., BIFFONI, M., SETTE, G., TODARO, M., STASSI, G. &amp; DE MARIA, R. 2014. Elimination of quiescent/slow-proliferating cancer stem cells by Bcl-XL inhibition in non-small cell lung cancer. </w:t>
      </w:r>
      <w:r w:rsidRPr="00EF2B5C">
        <w:rPr>
          <w:i/>
          <w:noProof/>
        </w:rPr>
        <w:t>Cell Death and Differentiation,</w:t>
      </w:r>
      <w:r w:rsidRPr="00EF2B5C">
        <w:rPr>
          <w:noProof/>
        </w:rPr>
        <w:t xml:space="preserve"> 21</w:t>
      </w:r>
      <w:r w:rsidRPr="00EF2B5C">
        <w:rPr>
          <w:b/>
          <w:noProof/>
        </w:rPr>
        <w:t>,</w:t>
      </w:r>
      <w:r w:rsidRPr="00EF2B5C">
        <w:rPr>
          <w:noProof/>
        </w:rPr>
        <w:t xml:space="preserve"> 1877-1888.</w:t>
      </w:r>
    </w:p>
    <w:p w14:paraId="2D509241" w14:textId="7A6330AC" w:rsidR="00003706" w:rsidRDefault="00DA51E3" w:rsidP="00003706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fldChar w:fldCharType="end"/>
      </w:r>
    </w:p>
    <w:sectPr w:rsidR="00003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Harvard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szs2sdzn0wrxnesffnpa5t0srarrpexaffz&quot;&gt;My EndNote Library&lt;record-ids&gt;&lt;item&gt;1&lt;/item&gt;&lt;item&gt;284&lt;/item&gt;&lt;item&gt;285&lt;/item&gt;&lt;item&gt;286&lt;/item&gt;&lt;item&gt;287&lt;/item&gt;&lt;item&gt;288&lt;/item&gt;&lt;item&gt;289&lt;/item&gt;&lt;item&gt;290&lt;/item&gt;&lt;item&gt;291&lt;/item&gt;&lt;item&gt;292&lt;/item&gt;&lt;item&gt;293&lt;/item&gt;&lt;/record-ids&gt;&lt;/item&gt;&lt;/Libraries&gt;"/>
    <w:docVar w:name="EN.UseJSCitationFormat" w:val="False"/>
  </w:docVars>
  <w:rsids>
    <w:rsidRoot w:val="0041048D"/>
    <w:rsid w:val="00003706"/>
    <w:rsid w:val="00011B7F"/>
    <w:rsid w:val="00012A29"/>
    <w:rsid w:val="0001309D"/>
    <w:rsid w:val="00047D11"/>
    <w:rsid w:val="00062C53"/>
    <w:rsid w:val="00066E5E"/>
    <w:rsid w:val="0007285F"/>
    <w:rsid w:val="00074371"/>
    <w:rsid w:val="000C3935"/>
    <w:rsid w:val="000E0592"/>
    <w:rsid w:val="000F013E"/>
    <w:rsid w:val="000F0A81"/>
    <w:rsid w:val="00115B8B"/>
    <w:rsid w:val="00125A46"/>
    <w:rsid w:val="0017264E"/>
    <w:rsid w:val="00196537"/>
    <w:rsid w:val="001B7997"/>
    <w:rsid w:val="001E25E6"/>
    <w:rsid w:val="002262A9"/>
    <w:rsid w:val="00252128"/>
    <w:rsid w:val="00271FBC"/>
    <w:rsid w:val="0029246A"/>
    <w:rsid w:val="00297234"/>
    <w:rsid w:val="002973B7"/>
    <w:rsid w:val="002C0360"/>
    <w:rsid w:val="002C3876"/>
    <w:rsid w:val="002F5B73"/>
    <w:rsid w:val="003241E8"/>
    <w:rsid w:val="003327C7"/>
    <w:rsid w:val="003B083D"/>
    <w:rsid w:val="003C2623"/>
    <w:rsid w:val="003C7E30"/>
    <w:rsid w:val="003E0758"/>
    <w:rsid w:val="0041048D"/>
    <w:rsid w:val="00411ACD"/>
    <w:rsid w:val="0043760C"/>
    <w:rsid w:val="0046688F"/>
    <w:rsid w:val="00475F00"/>
    <w:rsid w:val="004A3E86"/>
    <w:rsid w:val="004D4319"/>
    <w:rsid w:val="004F6F8A"/>
    <w:rsid w:val="005213E5"/>
    <w:rsid w:val="00531B2B"/>
    <w:rsid w:val="00561261"/>
    <w:rsid w:val="00583B11"/>
    <w:rsid w:val="005900C8"/>
    <w:rsid w:val="005F593F"/>
    <w:rsid w:val="0061546F"/>
    <w:rsid w:val="006520F5"/>
    <w:rsid w:val="00653CAA"/>
    <w:rsid w:val="0067286F"/>
    <w:rsid w:val="00675CEF"/>
    <w:rsid w:val="007025F8"/>
    <w:rsid w:val="00732779"/>
    <w:rsid w:val="00734AE2"/>
    <w:rsid w:val="00780905"/>
    <w:rsid w:val="00784D35"/>
    <w:rsid w:val="00791854"/>
    <w:rsid w:val="007B0E95"/>
    <w:rsid w:val="007B41A2"/>
    <w:rsid w:val="007E2672"/>
    <w:rsid w:val="00825660"/>
    <w:rsid w:val="008310A9"/>
    <w:rsid w:val="00865578"/>
    <w:rsid w:val="00870920"/>
    <w:rsid w:val="008B2E45"/>
    <w:rsid w:val="008F257F"/>
    <w:rsid w:val="0091268D"/>
    <w:rsid w:val="0092068C"/>
    <w:rsid w:val="009526E6"/>
    <w:rsid w:val="00954B20"/>
    <w:rsid w:val="00961A7F"/>
    <w:rsid w:val="009A5EA9"/>
    <w:rsid w:val="009C4DDC"/>
    <w:rsid w:val="009D6DCB"/>
    <w:rsid w:val="009F6AF2"/>
    <w:rsid w:val="00A00861"/>
    <w:rsid w:val="00A15710"/>
    <w:rsid w:val="00A33305"/>
    <w:rsid w:val="00A44F0E"/>
    <w:rsid w:val="00A51EB4"/>
    <w:rsid w:val="00A93C19"/>
    <w:rsid w:val="00A94F07"/>
    <w:rsid w:val="00AA7F83"/>
    <w:rsid w:val="00AC0657"/>
    <w:rsid w:val="00AD72A9"/>
    <w:rsid w:val="00B1150A"/>
    <w:rsid w:val="00B15403"/>
    <w:rsid w:val="00B26BC6"/>
    <w:rsid w:val="00B33F28"/>
    <w:rsid w:val="00B36444"/>
    <w:rsid w:val="00C12872"/>
    <w:rsid w:val="00C15097"/>
    <w:rsid w:val="00C305B3"/>
    <w:rsid w:val="00C63337"/>
    <w:rsid w:val="00C90E90"/>
    <w:rsid w:val="00CA7406"/>
    <w:rsid w:val="00CC280F"/>
    <w:rsid w:val="00CF36CA"/>
    <w:rsid w:val="00D4585B"/>
    <w:rsid w:val="00D601AB"/>
    <w:rsid w:val="00DA51E3"/>
    <w:rsid w:val="00DB31EC"/>
    <w:rsid w:val="00DC04AB"/>
    <w:rsid w:val="00DC7630"/>
    <w:rsid w:val="00DD6A4F"/>
    <w:rsid w:val="00DF2060"/>
    <w:rsid w:val="00E01512"/>
    <w:rsid w:val="00E11A01"/>
    <w:rsid w:val="00E340CF"/>
    <w:rsid w:val="00E467C7"/>
    <w:rsid w:val="00E502D3"/>
    <w:rsid w:val="00EB4269"/>
    <w:rsid w:val="00EB4FD0"/>
    <w:rsid w:val="00EE6336"/>
    <w:rsid w:val="00EF2B5C"/>
    <w:rsid w:val="00F17A5C"/>
    <w:rsid w:val="00F8372C"/>
    <w:rsid w:val="00F93E1D"/>
    <w:rsid w:val="00FA2EC7"/>
    <w:rsid w:val="00FB06D4"/>
    <w:rsid w:val="00FE3520"/>
    <w:rsid w:val="00FF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60EE6"/>
  <w15:chartTrackingRefBased/>
  <w15:docId w15:val="{88258A22-CAF3-324C-9BD7-3E6E7B6E3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48D"/>
    <w:rPr>
      <w:b/>
      <w:bCs/>
      <w:smallCaps/>
      <w:color w:val="0F4761" w:themeColor="accent1" w:themeShade="BF"/>
      <w:spacing w:val="5"/>
    </w:rPr>
  </w:style>
  <w:style w:type="paragraph" w:customStyle="1" w:styleId="EndNoteBibliographyTitle">
    <w:name w:val="EndNote Bibliography Title"/>
    <w:basedOn w:val="Normal"/>
    <w:link w:val="EndNoteBibliographyTitle0"/>
    <w:rsid w:val="00DA51E3"/>
    <w:pPr>
      <w:spacing w:after="0"/>
      <w:jc w:val="center"/>
    </w:pPr>
    <w:rPr>
      <w:rFonts w:ascii="Times New Roman" w:hAnsi="Times New Roman" w:cs="Times New Roman"/>
      <w:sz w:val="22"/>
    </w:rPr>
  </w:style>
  <w:style w:type="character" w:customStyle="1" w:styleId="EndNoteBibliographyTitle0">
    <w:name w:val="EndNote Bibliography Title 字符"/>
    <w:basedOn w:val="DefaultParagraphFont"/>
    <w:link w:val="EndNoteBibliographyTitle"/>
    <w:rsid w:val="00DA51E3"/>
    <w:rPr>
      <w:rFonts w:ascii="Times New Roman" w:hAnsi="Times New Roman" w:cs="Times New Roman"/>
      <w:sz w:val="22"/>
    </w:rPr>
  </w:style>
  <w:style w:type="paragraph" w:customStyle="1" w:styleId="EndNoteBibliography">
    <w:name w:val="EndNote Bibliography"/>
    <w:basedOn w:val="Normal"/>
    <w:link w:val="EndNoteBibliography0"/>
    <w:rsid w:val="00DA51E3"/>
    <w:pPr>
      <w:spacing w:line="240" w:lineRule="auto"/>
    </w:pPr>
    <w:rPr>
      <w:rFonts w:ascii="Times New Roman" w:hAnsi="Times New Roman" w:cs="Times New Roman"/>
      <w:sz w:val="22"/>
    </w:rPr>
  </w:style>
  <w:style w:type="character" w:customStyle="1" w:styleId="EndNoteBibliography0">
    <w:name w:val="EndNote Bibliography 字符"/>
    <w:basedOn w:val="DefaultParagraphFont"/>
    <w:link w:val="EndNoteBibliography"/>
    <w:rsid w:val="00DA51E3"/>
    <w:rPr>
      <w:rFonts w:ascii="Times New Roman" w:hAnsi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2</Pages>
  <Words>3202</Words>
  <Characters>18255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Zheheng Fan</dc:creator>
  <cp:keywords/>
  <dc:description/>
  <cp:lastModifiedBy>Fan, Zheheng</cp:lastModifiedBy>
  <cp:revision>36</cp:revision>
  <dcterms:created xsi:type="dcterms:W3CDTF">2025-03-10T07:20:00Z</dcterms:created>
  <dcterms:modified xsi:type="dcterms:W3CDTF">2025-04-06T13:40:00Z</dcterms:modified>
</cp:coreProperties>
</file>