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深度残差网络研究示例</w:t>
      </w:r>
    </w:p>
    <w:p/>
    <w:p>
      <w:r>
        <w:t>深度残差网络通过残差连接改善了极深网络的训练稳定性[1]。另一项结论仍需进一步核对[5]。</w:t>
      </w:r>
    </w:p>
    <w:p/>
    <w:p>
      <w:r>
        <w:t>## 参考文献</w:t>
      </w:r>
    </w:p>
    <w:p/>
    <w:p>
      <w:r>
        <w:t>[1] He, K., Zhang, X., Ren, S., &amp; Sun, J. Deep Residual Learning for Image Recognition. 2016. DOI: 10.1109/CVPR.2016.90.</w:t>
      </w:r>
    </w:p>
    <w:p/>
    <w:p>
      <w:r>
        <w:t>[2] He, K., Zhang, X., Ren, S., &amp; Sun, J. Deep Residual Learning for Image Recognition. 2016. DOI: 10.1109/CVPR.2016.90.</w:t>
      </w:r>
    </w:p>
    <w:p/>
    <w:p>
      <w:r>
        <w:t>[3] Smith, J. Citations and evidence. 2017. DOI: 10.1109/CVPR.2016.90.</w:t>
      </w:r>
    </w:p>
    <w:p/>
    <w:p>
      <w:r>
        <w:t>[4] Example, A. An unverified record. 2020. DOI: 10.9999/notreal.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