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0" w:after="160"/>
        <w:rPr>
          <w:b/>
          <w:bCs/>
        </w:rPr>
      </w:pPr>
      <w:r>
        <w:rPr>
          <w:rStyle w:val="Strong"/>
          <w:sz w:val="30"/>
          <w:szCs w:val="30"/>
        </w:rPr>
        <w:t>Use Cases für die Allgold Premium Molkerei</w:t>
      </w:r>
    </w:p>
    <w:p>
      <w:pPr>
        <w:pStyle w:val="BodyText"/>
        <w:spacing w:lineRule="auto" w:line="259" w:before="0" w:after="160"/>
        <w:rPr>
          <w:b/>
          <w:bCs/>
        </w:rPr>
      </w:pPr>
      <w:r>
        <w:rPr>
          <w:b w:val="false"/>
          <w:bCs w:val="false"/>
          <w:sz w:val="24"/>
          <w:szCs w:val="24"/>
        </w:rPr>
        <w:t xml:space="preserve">Ein </w:t>
      </w:r>
      <w:r>
        <w:rPr>
          <w:rStyle w:val="Strong"/>
          <w:b w:val="false"/>
          <w:bCs w:val="false"/>
          <w:sz w:val="24"/>
          <w:szCs w:val="24"/>
        </w:rPr>
        <w:t>Use Case (Anwendungsfall)</w:t>
      </w:r>
      <w:r>
        <w:rPr>
          <w:b w:val="false"/>
          <w:bCs w:val="false"/>
          <w:sz w:val="24"/>
          <w:szCs w:val="24"/>
        </w:rPr>
        <w:t xml:space="preserve"> beschreibt, </w:t>
      </w:r>
      <w:r>
        <w:rPr>
          <w:rStyle w:val="Strong"/>
          <w:b w:val="false"/>
          <w:bCs w:val="false"/>
          <w:sz w:val="24"/>
          <w:szCs w:val="24"/>
        </w:rPr>
        <w:t>wie ein Nutzer mit einem System interagiert</w:t>
      </w:r>
      <w:r>
        <w:rPr>
          <w:b w:val="false"/>
          <w:bCs w:val="false"/>
          <w:sz w:val="24"/>
          <w:szCs w:val="24"/>
        </w:rPr>
        <w:t>, um ein bestimmtes Ziel zu erreichen.</w:t>
        <w:br/>
        <w:t xml:space="preserve">Im Mittelpunkt steht </w:t>
      </w:r>
      <w:r>
        <w:rPr>
          <w:rStyle w:val="Strong"/>
          <w:b w:val="false"/>
          <w:bCs w:val="false"/>
          <w:sz w:val="24"/>
          <w:szCs w:val="24"/>
        </w:rPr>
        <w:t>der Mensch (Akteur)</w:t>
      </w:r>
      <w:r>
        <w:rPr>
          <w:b w:val="false"/>
          <w:bCs w:val="false"/>
          <w:sz w:val="24"/>
          <w:szCs w:val="24"/>
        </w:rPr>
        <w:t xml:space="preserve"> – nicht die Technik.</w:t>
        <w:br/>
        <w:t xml:space="preserve">Ein Use Case hilft, Anforderungen </w:t>
      </w:r>
      <w:r>
        <w:rPr>
          <w:rStyle w:val="Strong"/>
          <w:b w:val="false"/>
          <w:bCs w:val="false"/>
          <w:sz w:val="24"/>
          <w:szCs w:val="24"/>
        </w:rPr>
        <w:t>verständlich und praxisnah</w:t>
      </w:r>
      <w:r>
        <w:rPr>
          <w:b w:val="false"/>
          <w:bCs w:val="false"/>
          <w:sz w:val="24"/>
          <w:szCs w:val="24"/>
        </w:rPr>
        <w:t xml:space="preserve"> aus Anwendersicht zu formulieren.</w:t>
      </w:r>
    </w:p>
    <w:p>
      <w:pPr>
        <w:pStyle w:val="BodyText"/>
        <w:spacing w:lineRule="auto" w:line="259" w:before="0" w:after="16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4"/>
        <w:spacing w:before="0" w:after="160"/>
        <w:rPr>
          <w:b/>
          <w:bCs/>
          <w:i w:val="false"/>
          <w:i w:val="false"/>
          <w:iCs w:val="false"/>
          <w:sz w:val="26"/>
          <w:szCs w:val="26"/>
        </w:rPr>
      </w:pPr>
      <w:r>
        <w:rPr>
          <w:b/>
          <w:bCs/>
          <w:i w:val="false"/>
          <w:iCs w:val="false"/>
          <w:sz w:val="26"/>
          <w:szCs w:val="26"/>
        </w:rPr>
        <w:t>Typische Merkmale: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b/>
          <w:bCs/>
        </w:rPr>
      </w:pPr>
      <w:r>
        <w:rPr>
          <w:b w:val="false"/>
          <w:bCs w:val="false"/>
          <w:sz w:val="24"/>
          <w:szCs w:val="24"/>
        </w:rPr>
        <w:t xml:space="preserve">Beschreibt </w:t>
      </w:r>
      <w:r>
        <w:rPr>
          <w:rStyle w:val="Strong"/>
          <w:b w:val="false"/>
          <w:bCs w:val="false"/>
          <w:sz w:val="24"/>
          <w:szCs w:val="24"/>
        </w:rPr>
        <w:t>eine konkrete Handlung oder Interaktion</w:t>
      </w:r>
      <w:r>
        <w:rPr>
          <w:b w:val="false"/>
          <w:bCs w:val="false"/>
          <w:sz w:val="24"/>
          <w:szCs w:val="24"/>
        </w:rPr>
        <w:t xml:space="preserve"> mit einem System.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b/>
          <w:bCs/>
        </w:rPr>
      </w:pPr>
      <w:r>
        <w:rPr>
          <w:b w:val="false"/>
          <w:bCs w:val="false"/>
          <w:sz w:val="24"/>
          <w:szCs w:val="24"/>
        </w:rPr>
        <w:t xml:space="preserve">Zeigt </w:t>
      </w:r>
      <w:r>
        <w:rPr>
          <w:rStyle w:val="Strong"/>
          <w:b w:val="false"/>
          <w:bCs w:val="false"/>
          <w:sz w:val="24"/>
          <w:szCs w:val="24"/>
        </w:rPr>
        <w:t>Schritt für Schritt</w:t>
      </w:r>
      <w:r>
        <w:rPr>
          <w:b w:val="false"/>
          <w:bCs w:val="false"/>
          <w:sz w:val="24"/>
          <w:szCs w:val="24"/>
        </w:rPr>
        <w:t>, wie ein bestimmtes Ziel erreicht wird.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Beantwortet drei Kernfragen: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1418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</w:rPr>
        <w:t>Wer</w:t>
      </w:r>
      <w:r>
        <w:rPr>
          <w:b w:val="false"/>
          <w:bCs w:val="false"/>
          <w:sz w:val="24"/>
          <w:szCs w:val="24"/>
        </w:rPr>
        <w:t xml:space="preserve"> ist beteiligt? (Akteur)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1418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</w:rPr>
        <w:t>Was</w:t>
      </w:r>
      <w:r>
        <w:rPr>
          <w:b w:val="false"/>
          <w:bCs w:val="false"/>
          <w:sz w:val="24"/>
          <w:szCs w:val="24"/>
        </w:rPr>
        <w:t xml:space="preserve"> möchte der Akteur erreichen? (Ziel)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1418"/>
        <w:rPr>
          <w:b/>
          <w:bCs/>
        </w:rPr>
      </w:pPr>
      <w:r>
        <w:rPr>
          <w:rStyle w:val="Strong"/>
          <w:b w:val="false"/>
          <w:bCs w:val="false"/>
          <w:sz w:val="24"/>
          <w:szCs w:val="24"/>
        </w:rPr>
        <w:t>Warum</w:t>
      </w:r>
      <w:r>
        <w:rPr>
          <w:b w:val="false"/>
          <w:bCs w:val="false"/>
          <w:sz w:val="24"/>
          <w:szCs w:val="24"/>
        </w:rPr>
        <w:t xml:space="preserve"> ist das wichtig? (Nutzen)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b/>
          <w:bCs/>
        </w:rPr>
      </w:pPr>
      <w:r>
        <w:rPr>
          <w:b w:val="false"/>
          <w:bCs w:val="false"/>
          <w:sz w:val="24"/>
          <w:szCs w:val="24"/>
        </w:rPr>
        <w:t xml:space="preserve">Technische Details sind zweitrangig – entscheidend ist die </w:t>
      </w:r>
      <w:r>
        <w:rPr>
          <w:rStyle w:val="Strong"/>
          <w:b w:val="false"/>
          <w:bCs w:val="false"/>
          <w:sz w:val="24"/>
          <w:szCs w:val="24"/>
        </w:rPr>
        <w:t>Nutzerperspektive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2"/>
        <w:rPr>
          <w:b/>
          <w:bCs/>
        </w:rPr>
      </w:pPr>
      <w:r>
        <w:rPr>
          <w:rStyle w:val="Strong"/>
          <w:sz w:val="28"/>
          <w:szCs w:val="28"/>
        </w:rPr>
        <w:t>Typische Use Cases für die (Social-)Intranet-Lösung bei Allgold</w:t>
      </w:r>
    </w:p>
    <w:p>
      <w:pPr>
        <w:pStyle w:val="BodyText"/>
        <w:spacing w:lineRule="auto" w:line="259" w:before="0" w:after="160"/>
        <w:rPr>
          <w:b/>
          <w:bCs/>
        </w:rPr>
      </w:pPr>
      <w:r>
        <w:rPr>
          <w:b/>
          <w:bCs/>
        </w:rPr>
        <w:t>Die Use Cases sind in drei Teams gegliedert – entsprechend der Projektstruktur:</w:t>
      </w:r>
    </w:p>
    <w:tbl>
      <w:tblPr>
        <w:tblW w:w="90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95"/>
        <w:gridCol w:w="4976"/>
      </w:tblGrid>
      <w:tr>
        <w:trPr>
          <w:tblHeader w:val="true"/>
        </w:trPr>
        <w:tc>
          <w:tcPr>
            <w:tcW w:w="4095" w:type="dxa"/>
            <w:tcBorders/>
            <w:vAlign w:val="center"/>
          </w:tcPr>
          <w:p>
            <w:pPr>
              <w:pStyle w:val="Tabellenberschrift"/>
              <w:suppressLineNumbers/>
              <w:spacing w:before="0" w:after="160"/>
              <w:jc w:val="center"/>
              <w:rPr/>
            </w:pPr>
            <w:r>
              <w:rPr/>
              <w:t>Team</w:t>
            </w:r>
          </w:p>
        </w:tc>
        <w:tc>
          <w:tcPr>
            <w:tcW w:w="4976" w:type="dxa"/>
            <w:tcBorders/>
            <w:vAlign w:val="center"/>
          </w:tcPr>
          <w:p>
            <w:pPr>
              <w:pStyle w:val="Tabellenberschrift"/>
              <w:suppressLineNumbers/>
              <w:spacing w:before="0" w:after="160"/>
              <w:jc w:val="center"/>
              <w:rPr/>
            </w:pPr>
            <w:r>
              <w:rPr/>
              <w:t>Bedeutung</w:t>
            </w:r>
          </w:p>
        </w:tc>
      </w:tr>
      <w:tr>
        <w:trPr/>
        <w:tc>
          <w:tcPr>
            <w:tcW w:w="409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Team M (Allgold intern)</w:t>
            </w:r>
          </w:p>
        </w:tc>
        <w:tc>
          <w:tcPr>
            <w:tcW w:w="497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spacing w:before="0" w:after="160"/>
              <w:rPr/>
            </w:pPr>
            <w:r>
              <w:rPr/>
              <w:t>Mitarbeitende aus Produktion, Verwaltung, Vertrieb</w:t>
            </w:r>
          </w:p>
        </w:tc>
      </w:tr>
      <w:tr>
        <w:trPr/>
        <w:tc>
          <w:tcPr>
            <w:tcW w:w="409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Team C (Beratung FHK-Consult &amp; Partner)</w:t>
            </w:r>
          </w:p>
        </w:tc>
        <w:tc>
          <w:tcPr>
            <w:tcW w:w="497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spacing w:before="0" w:after="160"/>
              <w:rPr/>
            </w:pPr>
            <w:r>
              <w:rPr/>
              <w:t>Projektunterstützung, Analyse, Change-Management</w:t>
            </w:r>
          </w:p>
        </w:tc>
      </w:tr>
      <w:tr>
        <w:trPr/>
        <w:tc>
          <w:tcPr>
            <w:tcW w:w="409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Team S (Systemhaus)</w:t>
            </w:r>
          </w:p>
        </w:tc>
        <w:tc>
          <w:tcPr>
            <w:tcW w:w="497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spacing w:before="0" w:after="160"/>
              <w:rPr/>
            </w:pPr>
            <w:r>
              <w:rPr/>
              <w:t>Technische Umsetzung, Integration und Support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3"/>
        <w:ind w:hanging="0" w:left="0"/>
        <w:rPr/>
      </w:pPr>
      <w:r>
        <w:rPr>
          <w:rStyle w:val="Strong"/>
          <w:sz w:val="26"/>
          <w:szCs w:val="26"/>
        </w:rPr>
        <w:t>Use Case 1 – Interne Unternehmensnachrichten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Akteur:</w:t>
      </w:r>
      <w:r>
        <w:rPr/>
        <w:t xml:space="preserve"> Mitarbeitende aus Produktion, Verwaltung und Vertrieb</w:t>
        <w:br/>
      </w:r>
      <w:r>
        <w:rPr>
          <w:rStyle w:val="Strong"/>
        </w:rPr>
        <w:t>Ziel:</w:t>
      </w:r>
      <w:r>
        <w:rPr/>
        <w:t xml:space="preserve"> Zugriff auf aktuelle Mitteilungen und Entscheidungen der Geschäftsführung</w:t>
        <w:br/>
      </w:r>
      <w:r>
        <w:rPr>
          <w:rStyle w:val="Strong"/>
        </w:rPr>
        <w:t>Ablauf: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Mitarbeitende melden sich am Intranet-Terminal oder PC an.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Sie öffnen den Bereich </w:t>
      </w:r>
      <w:r>
        <w:rPr>
          <w:rStyle w:val="Strong"/>
        </w:rPr>
        <w:t>„Unternehmensnews“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Lesen dort aktuelle Mitteilungen (z. B. neue Produktionsplanung, Sicherheitsvorgaben, Urlaubsregelungen).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Bei wichtigen Mitteilungen bestätigen sie das Lesen digital.</w:t>
        <w:br/>
      </w:r>
      <w:r>
        <w:rPr>
          <w:rStyle w:val="Strong"/>
        </w:rPr>
        <w:t>Nutzen: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Alle Mitarbeitenden sind auf demselben Informationsstand.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Keine Informationsverluste durch Papier oder mündliche Weitergabe.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Schnelle und transparente interne Kommunikation.</w:t>
      </w:r>
    </w:p>
    <w:p>
      <w:pPr>
        <w:pStyle w:val="HorizontaleLini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>
          <w:rStyle w:val="Strong"/>
          <w:sz w:val="26"/>
          <w:szCs w:val="26"/>
        </w:rPr>
        <w:t>Use Case 2 – Formulare und Dokumente finden und herunterladen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Akteur:</w:t>
      </w:r>
      <w:r>
        <w:rPr/>
        <w:t xml:space="preserve"> Mitarbeitende aus Produktion, Verwaltung und Vertrieb</w:t>
        <w:br/>
      </w:r>
      <w:r>
        <w:rPr>
          <w:rStyle w:val="Strong"/>
        </w:rPr>
        <w:t>Ziel:</w:t>
      </w:r>
      <w:r>
        <w:rPr/>
        <w:t xml:space="preserve"> Zugriff auf zentrale Dokumente und Vorlagen (z. B. Urlaubsanträge, Arbeitsanweisungen, Qualitätsrichtlinien)</w:t>
        <w:br/>
      </w:r>
      <w:r>
        <w:rPr>
          <w:rStyle w:val="Strong"/>
        </w:rPr>
        <w:t>Ablauf: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Mitarbeitende öffnen im Intranet den Bereich </w:t>
      </w:r>
      <w:r>
        <w:rPr>
          <w:rStyle w:val="Strong"/>
        </w:rPr>
        <w:t>„Dokumente &amp; Formulare“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Wählen die gewünschte Kategorie (z. B. Personal, Produktion, Qualität).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Laden das benötigte Formular herunter oder füllen es direkt digital aus.</w:t>
        <w:br/>
      </w:r>
      <w:r>
        <w:rPr>
          <w:rStyle w:val="Strong"/>
        </w:rPr>
        <w:t>Nutzen: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Alle Dokumente sind zentral und aktuell verfügbar.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Zeitersparnis durch digitale Abläufe.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Fehler durch veraltete Dokumente werden vermieden.</w:t>
      </w:r>
    </w:p>
    <w:p>
      <w:pPr>
        <w:pStyle w:val="HorizontaleLinie"/>
        <w:spacing w:before="0" w:after="160"/>
        <w:rPr/>
      </w:pPr>
      <w:r>
        <w:rPr/>
      </w:r>
    </w:p>
    <w:p>
      <w:pPr>
        <w:pStyle w:val="Heading3"/>
        <w:spacing w:before="0" w:after="160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before="0" w:after="160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before="0" w:after="160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spacing w:before="0" w:after="160"/>
        <w:rPr/>
      </w:pPr>
      <w:r>
        <w:rPr>
          <w:rStyle w:val="Strong"/>
          <w:sz w:val="26"/>
          <w:szCs w:val="26"/>
        </w:rPr>
        <w:t>Use Case 3 – Abteilungsübergreifend kommunizieren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Akteur:</w:t>
      </w:r>
      <w:r>
        <w:rPr/>
        <w:t xml:space="preserve"> Mitarbeitende aus Produktion, Verwaltung, Vertrieb</w:t>
        <w:br/>
      </w:r>
      <w:r>
        <w:rPr>
          <w:rStyle w:val="Strong"/>
        </w:rPr>
        <w:t>Ziel:</w:t>
      </w:r>
      <w:r>
        <w:rPr/>
        <w:t xml:space="preserve"> Informationen, Fragen und Dateien intern austauschen, ohne E-Mail oder Papier</w:t>
        <w:br/>
      </w:r>
      <w:r>
        <w:rPr>
          <w:rStyle w:val="Strong"/>
        </w:rPr>
        <w:t>Ablauf: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Mitarbeitende erstellen im Intranet einen neuen Beitrag oder Chat im Bereich </w:t>
      </w:r>
      <w:r>
        <w:rPr>
          <w:rStyle w:val="Strong"/>
        </w:rPr>
        <w:t>„Team-Kommunikation“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Kollegen aus anderen Abteilungen können direkt antworten oder Dateien anhängen.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Diskussionen bleiben dokumentiert und nachvollziehbar.</w:t>
        <w:br/>
      </w:r>
      <w:r>
        <w:rPr>
          <w:rStyle w:val="Strong"/>
        </w:rPr>
        <w:t>Nutzen: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Verbesserte Zusammenarbeit zwischen Abteilungen.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Schnellere Entscheidungswege.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Förderung des Gemeinschaftsgefühls („Wir sind Allgold“).</w:t>
      </w:r>
    </w:p>
    <w:p>
      <w:pPr>
        <w:pStyle w:val="HorizontaleLini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>
          <w:rStyle w:val="Strong"/>
          <w:sz w:val="26"/>
          <w:szCs w:val="26"/>
        </w:rPr>
        <w:t>Use Case 4 – Verbesserungsvorschläge einreichen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Akteur:</w:t>
      </w:r>
      <w:r>
        <w:rPr/>
        <w:t xml:space="preserve"> Mitarbeitende aus allen Bereichen</w:t>
        <w:br/>
      </w:r>
      <w:r>
        <w:rPr>
          <w:rStyle w:val="Strong"/>
        </w:rPr>
        <w:t>Ziel:</w:t>
      </w:r>
      <w:r>
        <w:rPr/>
        <w:t xml:space="preserve"> Ideen zur Verbesserung von Arbeitsabläufen, Qualität oder Sicherheit einreichen</w:t>
        <w:br/>
      </w:r>
      <w:r>
        <w:rPr>
          <w:rStyle w:val="Strong"/>
        </w:rPr>
        <w:t>Ablauf: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Mitarbeitende öffnen im Intranet das Formular </w:t>
      </w:r>
      <w:r>
        <w:rPr>
          <w:rStyle w:val="Strong"/>
        </w:rPr>
        <w:t>„Ideenmanagement“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Beschreiben ihre Idee (z. B. effizientere Reinigung der Abfüllanlage).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Das Formular wird automatisch weitergeleitet.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Nach Prüfung und Umsetzung erhält der Ideengeber eine Rückmeldung.</w:t>
        <w:br/>
      </w:r>
      <w:r>
        <w:rPr>
          <w:rStyle w:val="Strong"/>
        </w:rPr>
        <w:t>Nutzen: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Mitarbeitende werden aktiv in Verbesserungsprozesse eingebunden.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Förderung der Innovationskultur.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Erhöhung von Qualität und Sicherheit in der Produktion.</w:t>
      </w:r>
    </w:p>
    <w:p>
      <w:pPr>
        <w:pStyle w:val="HorizontaleLinie"/>
        <w:spacing w:before="0" w:after="160"/>
        <w:rPr/>
      </w:pPr>
      <w:r>
        <w:rPr/>
      </w:r>
    </w:p>
    <w:p>
      <w:pPr>
        <w:pStyle w:val="Heading3"/>
        <w:spacing w:before="0" w:after="160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before="0" w:after="160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before="0" w:after="160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spacing w:before="0" w:after="160"/>
        <w:rPr/>
      </w:pPr>
      <w:r>
        <w:rPr>
          <w:rStyle w:val="Strong"/>
          <w:sz w:val="26"/>
          <w:szCs w:val="26"/>
        </w:rPr>
        <w:t>Use Case 5 – Schicht- und Urlaubsplanung einsehen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Akteur:</w:t>
      </w:r>
      <w:r>
        <w:rPr/>
        <w:t xml:space="preserve"> Mitarbeitende in der Produktion</w:t>
        <w:br/>
      </w:r>
      <w:r>
        <w:rPr>
          <w:rStyle w:val="Strong"/>
        </w:rPr>
        <w:t>Ziel:</w:t>
      </w:r>
      <w:r>
        <w:rPr/>
        <w:t xml:space="preserve"> Eigene Schichtpläne und Urlaubszeiten digital abrufen</w:t>
        <w:br/>
      </w:r>
      <w:r>
        <w:rPr>
          <w:rStyle w:val="Strong"/>
        </w:rPr>
        <w:t>Ablauf: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Mitarbeitende öffnen den </w:t>
      </w:r>
      <w:r>
        <w:rPr>
          <w:rStyle w:val="Strong"/>
        </w:rPr>
        <w:t>Kalenderbereich</w:t>
      </w:r>
      <w:r>
        <w:rPr/>
        <w:t xml:space="preserve"> im Intranet.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Sie wählen ihre Abteilung und sehen aktuelle Schichtzeiten.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Urlaubsanträge können direkt im Kalender eingereicht oder geändert werden.</w:t>
        <w:br/>
      </w:r>
      <w:r>
        <w:rPr>
          <w:rStyle w:val="Strong"/>
        </w:rPr>
        <w:t>Nutzen: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Mehr Transparenz und Planbarkeit.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Keine Missverständnisse oder Überschneidungen.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Einfachere Abstimmung zwischen Personalplanung und Mitarbeitenden.</w:t>
      </w:r>
    </w:p>
    <w:p>
      <w:pPr>
        <w:pStyle w:val="HorizontaleLini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>
          <w:rStyle w:val="Strong"/>
          <w:sz w:val="26"/>
          <w:szCs w:val="26"/>
        </w:rPr>
        <w:t>Use Case 6 – Arbeits- und Sicherheitsanweisungen abrufen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Akteur:</w:t>
      </w:r>
      <w:r>
        <w:rPr/>
        <w:t xml:space="preserve"> Produktionsmitarbeitende und Qualitätsbeauftragte</w:t>
        <w:br/>
      </w:r>
      <w:r>
        <w:rPr>
          <w:rStyle w:val="Strong"/>
        </w:rPr>
        <w:t>Ziel:</w:t>
      </w:r>
      <w:r>
        <w:rPr/>
        <w:t xml:space="preserve"> Zugriff auf aktuelle Arbeitsanweisungen und Sicherheitsvorgaben für bestimmte Maschinen oder Prozesse</w:t>
        <w:br/>
      </w:r>
      <w:r>
        <w:rPr>
          <w:rStyle w:val="Strong"/>
        </w:rPr>
        <w:t>Ablauf: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Mitarbeitende öffnen im Intranet den Bereich </w:t>
      </w:r>
      <w:r>
        <w:rPr>
          <w:rStyle w:val="Strong"/>
        </w:rPr>
        <w:t>„Qualität &amp; Produktion“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Wählen den Auftrag oder die Maschine aus (z. B. Joghurtabfüllung).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Sehen dort die aktuelle Arbeitsanweisung und Sicherheitsunterweisung.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Können diese digital bestätigen.</w:t>
        <w:br/>
      </w:r>
      <w:r>
        <w:rPr>
          <w:rStyle w:val="Strong"/>
        </w:rPr>
        <w:t>Nutzen: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Fehlervermeidung durch aktuelle, klar strukturierte Anweisungen.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Verbesserte Arbeitssicherheit.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Zeitersparnis und Qualitätssteigerung.</w:t>
      </w:r>
    </w:p>
    <w:p>
      <w:pPr>
        <w:pStyle w:val="Normal"/>
        <w:spacing w:before="0" w:after="160"/>
        <w:ind w:left="360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350e2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350e2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350e2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350e2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350e2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350e2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350e2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350e2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350e2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350e2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350e2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uiPriority w:val="9"/>
    <w:semiHidden/>
    <w:qFormat/>
    <w:rsid w:val="00350e2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350e21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350e21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350e21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350e21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350e21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350e21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350e2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350e2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350e2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50e21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350e2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50e21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350e21"/>
    <w:rPr>
      <w:b/>
      <w:bCs/>
    </w:rPr>
  </w:style>
  <w:style w:type="character" w:styleId="Nummerierungszeichen">
    <w:name w:val="Nummerierungszeichen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elZchn"/>
    <w:uiPriority w:val="10"/>
    <w:qFormat/>
    <w:rsid w:val="00350e2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350e2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350e2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50e2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35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LibreOffice/24.2.7.2$Linux_X86_64 LibreOffice_project/420$Build-2</Application>
  <AppVersion>15.0000</AppVersion>
  <Pages>4</Pages>
  <Words>590</Words>
  <Characters>4138</Characters>
  <CharactersWithSpaces>4620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2025-10-25T20:40:00Z</dcterms:created>
  <dc:creator>stmorinn</dc:creator>
  <dc:description/>
  <dc:language>en-US</dc:language>
  <cp:lastModifiedBy/>
  <dcterms:modified xsi:type="dcterms:W3CDTF">2025-10-27T16:45:15Z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