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AF150" w14:textId="5AE1E1C5" w:rsidR="00C76BDE" w:rsidRDefault="00995F8D" w:rsidP="009B2742">
      <w:pPr>
        <w:pStyle w:val="1"/>
      </w:pPr>
      <w:r>
        <w:rPr>
          <w:rFonts w:hint="eastAsia"/>
        </w:rPr>
        <w:t>X</w:t>
      </w:r>
      <w:r>
        <w:t>DL</w:t>
      </w:r>
      <w:r>
        <w:rPr>
          <w:rFonts w:hint="eastAsia"/>
        </w:rPr>
        <w:t>赛事信息：</w:t>
      </w:r>
    </w:p>
    <w:p w14:paraId="5044012C" w14:textId="77777777" w:rsidR="00995F8D" w:rsidRPr="00995F8D" w:rsidRDefault="00995F8D" w:rsidP="009B2742">
      <w:pPr>
        <w:pStyle w:val="ac"/>
      </w:pPr>
      <w:r>
        <w:rPr>
          <w:rFonts w:hint="eastAsia"/>
        </w:rPr>
        <w:t xml:space="preserve"> </w:t>
      </w:r>
      <w:r w:rsidRPr="00995F8D">
        <w:rPr>
          <w:rFonts w:hint="eastAsia"/>
        </w:rPr>
        <w:t>．评比程序</w:t>
      </w:r>
    </w:p>
    <w:p w14:paraId="5BEDC24F" w14:textId="77777777" w:rsidR="00995F8D" w:rsidRPr="00995F8D" w:rsidRDefault="00995F8D" w:rsidP="00995F8D">
      <w:pPr>
        <w:ind w:firstLineChars="200" w:firstLine="420"/>
        <w:rPr>
          <w:rFonts w:hint="eastAsia"/>
        </w:rPr>
      </w:pPr>
      <w:r w:rsidRPr="00995F8D">
        <w:rPr>
          <w:rFonts w:hint="eastAsia"/>
        </w:rPr>
        <w:t>各校在组织校级赛的基础上，推荐优秀作品参加省赛。省赛赛事分为两个阶段：一是网上初评，二是决赛。</w:t>
      </w:r>
    </w:p>
    <w:p w14:paraId="4B443BEC" w14:textId="77777777" w:rsidR="00995F8D" w:rsidRPr="00995F8D" w:rsidRDefault="00995F8D" w:rsidP="00995F8D">
      <w:pPr>
        <w:rPr>
          <w:rFonts w:hint="eastAsia"/>
        </w:rPr>
      </w:pPr>
      <w:r w:rsidRPr="00995F8D">
        <w:rPr>
          <w:rFonts w:hint="eastAsia"/>
        </w:rPr>
        <w:t>(1)</w:t>
      </w:r>
      <w:r w:rsidRPr="00995F8D">
        <w:rPr>
          <w:rFonts w:hint="eastAsia"/>
          <w:highlight w:val="yellow"/>
        </w:rPr>
        <w:t>初评阶段</w:t>
      </w:r>
      <w:r w:rsidRPr="00995F8D">
        <w:rPr>
          <w:rFonts w:hint="eastAsia"/>
        </w:rPr>
        <w:t>包括形式检查、作品分组、专家初评、专家复审、公示等环节。</w:t>
      </w:r>
    </w:p>
    <w:p w14:paraId="13BBA3CE" w14:textId="77777777" w:rsidR="00995F8D" w:rsidRPr="00995F8D" w:rsidRDefault="00995F8D" w:rsidP="00995F8D">
      <w:pPr>
        <w:rPr>
          <w:rFonts w:hint="eastAsia"/>
        </w:rPr>
      </w:pPr>
      <w:r w:rsidRPr="00995F8D">
        <w:rPr>
          <w:rFonts w:hint="eastAsia"/>
        </w:rPr>
        <w:t>(2)</w:t>
      </w:r>
      <w:r w:rsidRPr="00995F8D">
        <w:rPr>
          <w:rFonts w:hint="eastAsia"/>
          <w:highlight w:val="yellow"/>
        </w:rPr>
        <w:t>现场决赛（或者在线决赛）包括作品现场（或在线）展示与答辩、决赛评审、公示</w:t>
      </w:r>
      <w:r w:rsidRPr="00995F8D">
        <w:rPr>
          <w:rFonts w:hint="eastAsia"/>
        </w:rPr>
        <w:t>等环节。入围决赛队须根据通知按时到达指定场所（或者指定在线会议室）参加决赛，否则视为弃权，不授予任何奖励。</w:t>
      </w:r>
    </w:p>
    <w:p w14:paraId="3BFBF8BA" w14:textId="0FD0FDB3" w:rsidR="00995F8D" w:rsidRDefault="00995F8D">
      <w:r>
        <w:rPr>
          <w:rFonts w:hint="eastAsia"/>
        </w:rPr>
        <w:t xml:space="preserve"> </w:t>
      </w:r>
    </w:p>
    <w:p w14:paraId="4ABBC3EA" w14:textId="77777777" w:rsidR="00995F8D" w:rsidRDefault="00995F8D">
      <w:r w:rsidRPr="00995F8D">
        <w:rPr>
          <w:rFonts w:hint="eastAsia"/>
        </w:rPr>
        <w:t>．参赛报名：</w:t>
      </w:r>
    </w:p>
    <w:p w14:paraId="507E8B2E" w14:textId="6B80E41B" w:rsidR="00995F8D" w:rsidRDefault="00995F8D" w:rsidP="00995F8D">
      <w:pPr>
        <w:ind w:firstLineChars="200" w:firstLine="420"/>
      </w:pPr>
      <w:r w:rsidRPr="00995F8D">
        <w:rPr>
          <w:rFonts w:hint="eastAsia"/>
        </w:rPr>
        <w:t>各参赛学校需指定专门联系人作为本校管理员，在学校预赛后于2024年4月13日前将推荐作品通过大赛网站在线完成报名工作，并在线提交参赛作品及相关文件（大赛网站地址将在江苏省计算机学会网站及</w:t>
      </w:r>
      <w:proofErr w:type="gramStart"/>
      <w:r w:rsidRPr="00995F8D">
        <w:rPr>
          <w:rFonts w:hint="eastAsia"/>
        </w:rPr>
        <w:t>微信公众号</w:t>
      </w:r>
      <w:proofErr w:type="gramEnd"/>
      <w:r w:rsidRPr="00995F8D">
        <w:rPr>
          <w:rFonts w:hint="eastAsia"/>
        </w:rPr>
        <w:t>上通知）。</w:t>
      </w:r>
      <w:r w:rsidRPr="00995F8D">
        <w:rPr>
          <w:rFonts w:hint="eastAsia"/>
          <w:highlight w:val="yellow"/>
        </w:rPr>
        <w:t>在线完成报名后，参赛队需要在报名系统内下载由报名系统生成的报名表，打印后加盖学校（教务处）或者学院公章，由全体作者签名后，拍照或扫描上传到报名系统。</w:t>
      </w:r>
      <w:r w:rsidRPr="00995F8D">
        <w:rPr>
          <w:rFonts w:hint="eastAsia"/>
        </w:rPr>
        <w:t>网上报名、提交作品、汇出报名费的截止日期均为</w:t>
      </w:r>
      <w:r w:rsidRPr="00995F8D">
        <w:rPr>
          <w:rFonts w:hint="eastAsia"/>
          <w:color w:val="FF0000"/>
        </w:rPr>
        <w:t>2024年4月13日</w:t>
      </w:r>
      <w:r w:rsidRPr="00995F8D">
        <w:rPr>
          <w:rFonts w:hint="eastAsia"/>
        </w:rPr>
        <w:t>，逾期视为无效报名，没有参赛资格。</w:t>
      </w:r>
    </w:p>
    <w:p w14:paraId="156B9EEA" w14:textId="77777777" w:rsidR="00995F8D" w:rsidRDefault="00995F8D" w:rsidP="00995F8D">
      <w:pPr>
        <w:ind w:firstLineChars="200" w:firstLine="420"/>
        <w:rPr>
          <w:rFonts w:hint="eastAsia"/>
        </w:rPr>
      </w:pPr>
    </w:p>
    <w:p w14:paraId="2E5BA00A" w14:textId="77777777" w:rsidR="00995F8D" w:rsidRPr="00995F8D" w:rsidRDefault="00995F8D" w:rsidP="009B2742">
      <w:pPr>
        <w:pStyle w:val="ac"/>
      </w:pPr>
      <w:r w:rsidRPr="00995F8D">
        <w:rPr>
          <w:rFonts w:hint="eastAsia"/>
        </w:rPr>
        <w:t>报名费缴纳</w:t>
      </w:r>
    </w:p>
    <w:p w14:paraId="0C177CFF" w14:textId="0A83B17C" w:rsidR="00995F8D" w:rsidRDefault="00995F8D" w:rsidP="00995F8D">
      <w:pPr>
        <w:pStyle w:val="a7"/>
        <w:numPr>
          <w:ilvl w:val="0"/>
          <w:numId w:val="2"/>
        </w:numPr>
        <w:ind w:firstLineChars="0"/>
      </w:pPr>
      <w:r w:rsidRPr="00995F8D">
        <w:rPr>
          <w:rFonts w:hint="eastAsia"/>
        </w:rPr>
        <w:t>参赛报名费为初赛每件作品300元</w:t>
      </w:r>
    </w:p>
    <w:p w14:paraId="7AEC12D6" w14:textId="77777777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a. 使用线上交费，通过交费链接（如下）或扫描下面二维码交费。</w:t>
      </w:r>
    </w:p>
    <w:p w14:paraId="4D9BA828" w14:textId="77777777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  <w:hyperlink r:id="rId7" w:tgtFrame="_blank" w:history="1">
        <w:r w:rsidRPr="00995F8D">
          <w:rPr>
            <w:rFonts w:ascii="微软雅黑" w:eastAsia="微软雅黑" w:hAnsi="微软雅黑" w:cs="宋体" w:hint="eastAsia"/>
            <w:color w:val="3A3A3A"/>
            <w:kern w:val="0"/>
            <w:sz w:val="24"/>
            <w:szCs w:val="24"/>
            <w:u w:val="single"/>
            <w14:ligatures w14:val="none"/>
          </w:rPr>
          <w:t>https://metting-h5.jscs.org.cn/single?meeting_id=601119404327985152</w:t>
        </w:r>
      </w:hyperlink>
    </w:p>
    <w:p w14:paraId="678EEFA7" w14:textId="143BFA90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A668AEA" wp14:editId="686560B5">
            <wp:extent cx="1981200" cy="1811020"/>
            <wp:effectExtent l="0" t="0" r="0" b="0"/>
            <wp:docPr id="142284618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D3CC" w14:textId="77777777" w:rsid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注意：线上交费操作流程请关注江苏省计算机学会网站和</w:t>
      </w:r>
      <w:proofErr w:type="gramStart"/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微信公众号发布</w:t>
      </w:r>
      <w:proofErr w:type="gramEnd"/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的说明。</w:t>
      </w:r>
    </w:p>
    <w:p w14:paraId="2BA7E70D" w14:textId="77777777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lastRenderedPageBreak/>
        <w:t>（2）决赛参赛队按每件作品交纳参赛费600元，食宿自理。请根据省赛决赛通知中要求缴费。</w:t>
      </w:r>
    </w:p>
    <w:p w14:paraId="6357A08F" w14:textId="77777777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（3）</w:t>
      </w: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:highlight w:val="yellow"/>
          <w14:ligatures w14:val="none"/>
        </w:rPr>
        <w:t>学生参赛费用应由参赛学生所在学校承担。</w:t>
      </w: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学校有关部门要积极支持大赛工作，对指导教师在工作量、活动经费等方面给予必要的支持。</w:t>
      </w:r>
    </w:p>
    <w:p w14:paraId="33B768B0" w14:textId="77777777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3．2024年5月11日前完成作品初评、公布决赛作品名单；</w:t>
      </w:r>
    </w:p>
    <w:p w14:paraId="1E380081" w14:textId="77777777" w:rsidR="00995F8D" w:rsidRPr="00995F8D" w:rsidRDefault="00995F8D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  <w:r w:rsidRPr="00995F8D"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  <w:t>4. 决赛于2024年5月25日在江苏海洋大学举行所有类别的决赛。</w:t>
      </w:r>
    </w:p>
    <w:p w14:paraId="3985CAEB" w14:textId="40FB20A2" w:rsidR="00995F8D" w:rsidRDefault="009B2742" w:rsidP="009B2742">
      <w:pPr>
        <w:pStyle w:val="ac"/>
        <w:rPr>
          <w:rFonts w:hint="eastAsia"/>
        </w:rPr>
      </w:pPr>
      <w:r>
        <w:rPr>
          <w:rFonts w:hint="eastAsia"/>
        </w:rPr>
        <w:t>参赛类别</w:t>
      </w:r>
      <w:r>
        <w:t>:</w:t>
      </w:r>
    </w:p>
    <w:p w14:paraId="750F922B" w14:textId="3CA9E453" w:rsidR="009B2742" w:rsidRPr="00713C28" w:rsidRDefault="009B2742" w:rsidP="009B2742">
      <w:pPr>
        <w:pStyle w:val="ab"/>
        <w:snapToGrid w:val="0"/>
        <w:ind w:firstLineChars="200" w:firstLine="422"/>
        <w:rPr>
          <w:rFonts w:ascii="Times New Roman" w:eastAsia="黑体" w:hAnsi="Times New Roman"/>
          <w:b/>
        </w:rPr>
      </w:pPr>
      <w:r w:rsidRPr="00713C28">
        <w:rPr>
          <w:rFonts w:ascii="Times New Roman" w:eastAsia="黑体" w:hAnsi="Times New Roman" w:cs="仿宋_GB2312" w:hint="eastAsia"/>
          <w:b/>
        </w:rPr>
        <w:t>软件应用与开发类。</w:t>
      </w:r>
      <w:r w:rsidRPr="00713C28">
        <w:rPr>
          <w:rFonts w:ascii="Times New Roman" w:eastAsia="仿宋_GB2312" w:hAnsi="Times New Roman" w:cs="Times New Roman" w:hint="eastAsia"/>
        </w:rPr>
        <w:t>包括以下小类：</w:t>
      </w:r>
    </w:p>
    <w:p w14:paraId="71675ED3" w14:textId="77777777" w:rsidR="009B2742" w:rsidRPr="00713C28" w:rsidRDefault="009B2742" w:rsidP="009B2742">
      <w:pPr>
        <w:snapToGrid w:val="0"/>
        <w:ind w:firstLineChars="200" w:firstLine="420"/>
        <w:rPr>
          <w:rFonts w:eastAsia="仿宋_GB2312"/>
          <w:szCs w:val="21"/>
        </w:rPr>
      </w:pPr>
      <w:r w:rsidRPr="009B2742">
        <w:rPr>
          <w:rFonts w:eastAsia="仿宋_GB2312" w:hint="eastAsia"/>
          <w:szCs w:val="21"/>
          <w:highlight w:val="yellow"/>
        </w:rPr>
        <w:t>1. Web</w:t>
      </w:r>
      <w:r w:rsidRPr="009B2742">
        <w:rPr>
          <w:rFonts w:eastAsia="仿宋_GB2312" w:hint="eastAsia"/>
          <w:szCs w:val="21"/>
          <w:highlight w:val="yellow"/>
        </w:rPr>
        <w:t>应用与开发。</w:t>
      </w:r>
    </w:p>
    <w:p w14:paraId="25ADB160" w14:textId="77777777" w:rsidR="009B2742" w:rsidRPr="00713C28" w:rsidRDefault="009B2742" w:rsidP="009B2742">
      <w:pPr>
        <w:snapToGrid w:val="0"/>
        <w:ind w:firstLineChars="200" w:firstLine="420"/>
        <w:rPr>
          <w:rFonts w:eastAsia="仿宋_GB2312"/>
          <w:szCs w:val="21"/>
        </w:rPr>
      </w:pPr>
      <w:r w:rsidRPr="00713C28">
        <w:rPr>
          <w:rFonts w:eastAsia="仿宋_GB2312" w:hint="eastAsia"/>
          <w:szCs w:val="21"/>
        </w:rPr>
        <w:t xml:space="preserve">2. </w:t>
      </w:r>
      <w:r w:rsidRPr="00713C28">
        <w:rPr>
          <w:rFonts w:eastAsia="仿宋_GB2312" w:hint="eastAsia"/>
          <w:szCs w:val="21"/>
        </w:rPr>
        <w:t>管理信息系统。</w:t>
      </w:r>
    </w:p>
    <w:p w14:paraId="137A78EF" w14:textId="77777777" w:rsidR="009B2742" w:rsidRPr="00713C28" w:rsidRDefault="009B2742" w:rsidP="009B2742">
      <w:pPr>
        <w:snapToGrid w:val="0"/>
        <w:ind w:firstLineChars="200" w:firstLine="420"/>
        <w:rPr>
          <w:rFonts w:eastAsia="仿宋_GB2312"/>
          <w:szCs w:val="21"/>
        </w:rPr>
      </w:pPr>
      <w:r w:rsidRPr="00713C28">
        <w:rPr>
          <w:rFonts w:eastAsia="仿宋_GB2312" w:hint="eastAsia"/>
          <w:szCs w:val="21"/>
        </w:rPr>
        <w:t xml:space="preserve">3. </w:t>
      </w:r>
      <w:r w:rsidRPr="00713C28">
        <w:rPr>
          <w:rFonts w:eastAsia="仿宋_GB2312" w:hint="eastAsia"/>
          <w:szCs w:val="21"/>
        </w:rPr>
        <w:t>移动应用开发（非游戏类）。</w:t>
      </w:r>
    </w:p>
    <w:p w14:paraId="5C7E201F" w14:textId="77777777" w:rsidR="009B2742" w:rsidRPr="00713C28" w:rsidRDefault="009B2742" w:rsidP="009B2742">
      <w:pPr>
        <w:snapToGrid w:val="0"/>
        <w:ind w:firstLineChars="200" w:firstLine="420"/>
        <w:rPr>
          <w:rFonts w:eastAsia="仿宋_GB2312"/>
          <w:szCs w:val="21"/>
        </w:rPr>
      </w:pPr>
      <w:r w:rsidRPr="00713C28">
        <w:rPr>
          <w:rFonts w:eastAsia="仿宋_GB2312" w:hint="eastAsia"/>
          <w:szCs w:val="21"/>
        </w:rPr>
        <w:t xml:space="preserve">4. </w:t>
      </w:r>
      <w:r w:rsidRPr="00713C28">
        <w:rPr>
          <w:rFonts w:eastAsia="仿宋_GB2312" w:hint="eastAsia"/>
          <w:szCs w:val="21"/>
        </w:rPr>
        <w:t>算法设计与应用。</w:t>
      </w:r>
    </w:p>
    <w:p w14:paraId="5FE526D5" w14:textId="5C52E4E9" w:rsidR="009B2742" w:rsidRDefault="009B2742" w:rsidP="009B2742">
      <w:pPr>
        <w:snapToGrid w:val="0"/>
        <w:ind w:firstLineChars="200" w:firstLine="420"/>
        <w:rPr>
          <w:rFonts w:eastAsia="仿宋_GB2312"/>
          <w:szCs w:val="21"/>
        </w:rPr>
      </w:pPr>
      <w:r w:rsidRPr="00713C28">
        <w:rPr>
          <w:rFonts w:eastAsia="仿宋_GB2312" w:hint="eastAsia"/>
          <w:szCs w:val="21"/>
        </w:rPr>
        <w:t>5.</w:t>
      </w:r>
      <w:r w:rsidRPr="00713C28">
        <w:rPr>
          <w:rFonts w:eastAsia="仿宋_GB2312"/>
          <w:szCs w:val="21"/>
        </w:rPr>
        <w:t xml:space="preserve"> </w:t>
      </w:r>
      <w:bookmarkStart w:id="0" w:name="_Hlk121831961"/>
      <w:r w:rsidRPr="00C80BA2">
        <w:rPr>
          <w:rFonts w:eastAsia="仿宋_GB2312" w:hint="eastAsia"/>
          <w:szCs w:val="21"/>
        </w:rPr>
        <w:t>软件应用与开发专项赛</w:t>
      </w:r>
      <w:bookmarkEnd w:id="0"/>
      <w:r w:rsidRPr="00713C28">
        <w:rPr>
          <w:rFonts w:eastAsia="仿宋_GB2312" w:hint="eastAsia"/>
          <w:szCs w:val="21"/>
        </w:rPr>
        <w:t>。</w:t>
      </w:r>
    </w:p>
    <w:p w14:paraId="5F538F33" w14:textId="3DD06F9E" w:rsidR="009B2742" w:rsidRPr="009B2742" w:rsidRDefault="009B2742" w:rsidP="009B2742">
      <w:pPr>
        <w:snapToGrid w:val="0"/>
        <w:ind w:firstLineChars="200" w:firstLine="420"/>
        <w:rPr>
          <w:rFonts w:eastAsia="仿宋_GB2312" w:hint="eastAsia"/>
          <w:szCs w:val="21"/>
        </w:rPr>
      </w:pPr>
      <w:r>
        <w:rPr>
          <w:rFonts w:eastAsia="仿宋_GB2312" w:hint="eastAsia"/>
          <w:szCs w:val="21"/>
        </w:rPr>
        <w:t>说明：</w:t>
      </w:r>
    </w:p>
    <w:p w14:paraId="79AB1880" w14:textId="350894E2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713C28">
        <w:rPr>
          <w:rFonts w:ascii="Times New Roman" w:eastAsia="仿宋_GB2312" w:hAnsi="Times New Roman" w:cs="Times New Roman"/>
        </w:rPr>
        <w:t xml:space="preserve"> </w:t>
      </w:r>
      <w:r w:rsidRPr="00713C28">
        <w:rPr>
          <w:rFonts w:ascii="Times New Roman" w:eastAsia="仿宋_GB2312" w:hAnsi="Times New Roman" w:cs="Times New Roman" w:hint="eastAsia"/>
        </w:rPr>
        <w:t>软件应用与开发的作品是指运行在计算机（含智能手机）、网络、数据库系统之上的软件，提供信息管理、信息服务、移动应用、算法设计等功能或服务。</w:t>
      </w:r>
    </w:p>
    <w:p w14:paraId="33D7E880" w14:textId="77777777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9B2742">
        <w:rPr>
          <w:rFonts w:ascii="Times New Roman" w:eastAsia="仿宋_GB2312" w:hAnsi="Times New Roman" w:cs="Times New Roman" w:hint="eastAsia"/>
          <w:highlight w:val="yellow"/>
        </w:rPr>
        <w:t>小类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Web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应用与开发类作品，一般是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B/S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模式（即浏览器端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/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服务器端应用程序），客户端通过浏览器与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Web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服务器进行数据交互，例如各类购物网站、博客、在线学习平台等。参赛者应提供能够在互联网上访问的网站地址（域名或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IP</w:t>
      </w:r>
      <w:r w:rsidRPr="009B2742">
        <w:rPr>
          <w:rFonts w:ascii="Times New Roman" w:eastAsia="仿宋_GB2312" w:hAnsi="Times New Roman" w:cs="Times New Roman" w:hint="eastAsia"/>
          <w:highlight w:val="yellow"/>
        </w:rPr>
        <w:t>地址均可）</w:t>
      </w:r>
    </w:p>
    <w:p w14:paraId="7CFF5608" w14:textId="77777777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713C28">
        <w:rPr>
          <w:rFonts w:ascii="Times New Roman" w:eastAsia="仿宋_GB2312" w:hAnsi="Times New Roman" w:cs="Times New Roman" w:hint="eastAsia"/>
        </w:rPr>
        <w:t>小类管理信息系统类作品，一般为满足用户信息管理需求的信息系统，具有信息检索迅速、查找方便、可靠性高、存储量大等优点。该类系统通常具有信息的规划与管理、科学统计和快速查询等功能。例如财务管理系统、图书馆管理系统、学生信息管理系统等。</w:t>
      </w:r>
    </w:p>
    <w:p w14:paraId="6A946172" w14:textId="77777777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713C28">
        <w:rPr>
          <w:rFonts w:ascii="Times New Roman" w:eastAsia="仿宋_GB2312" w:hAnsi="Times New Roman" w:cs="Times New Roman" w:hint="eastAsia"/>
        </w:rPr>
        <w:t>小类移动应用开发（非游戏类）类作品，通常专指手机上的应用软件，或手机客户端。例如，微信、微博、</w:t>
      </w:r>
      <w:r w:rsidRPr="00713C28">
        <w:rPr>
          <w:rFonts w:ascii="Times New Roman" w:eastAsia="仿宋_GB2312" w:hAnsi="Times New Roman" w:cs="Times New Roman" w:hint="eastAsia"/>
        </w:rPr>
        <w:t>QQ</w:t>
      </w:r>
      <w:r w:rsidRPr="00713C28">
        <w:rPr>
          <w:rFonts w:ascii="Times New Roman" w:eastAsia="仿宋_GB2312" w:hAnsi="Times New Roman" w:cs="Times New Roman" w:hint="eastAsia"/>
        </w:rPr>
        <w:t>等各大社交</w:t>
      </w:r>
      <w:r w:rsidRPr="00713C28">
        <w:rPr>
          <w:rFonts w:ascii="Times New Roman" w:eastAsia="仿宋_GB2312" w:hAnsi="Times New Roman" w:cs="Times New Roman" w:hint="eastAsia"/>
        </w:rPr>
        <w:t>APP</w:t>
      </w:r>
      <w:r w:rsidRPr="00713C28">
        <w:rPr>
          <w:rFonts w:ascii="Times New Roman" w:eastAsia="仿宋_GB2312" w:hAnsi="Times New Roman" w:cs="Times New Roman" w:hint="eastAsia"/>
        </w:rPr>
        <w:t>，淘宝、京东等购物</w:t>
      </w:r>
      <w:r w:rsidRPr="00713C28">
        <w:rPr>
          <w:rFonts w:ascii="Times New Roman" w:eastAsia="仿宋_GB2312" w:hAnsi="Times New Roman" w:cs="Times New Roman" w:hint="eastAsia"/>
        </w:rPr>
        <w:t>APP</w:t>
      </w:r>
      <w:r w:rsidRPr="00713C28">
        <w:rPr>
          <w:rFonts w:ascii="Times New Roman" w:eastAsia="仿宋_GB2312" w:hAnsi="Times New Roman" w:cs="Times New Roman" w:hint="eastAsia"/>
        </w:rPr>
        <w:t>。</w:t>
      </w:r>
    </w:p>
    <w:p w14:paraId="596B4C05" w14:textId="77777777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713C28">
        <w:rPr>
          <w:rFonts w:ascii="Times New Roman" w:eastAsia="仿宋_GB2312" w:hAnsi="Times New Roman" w:cs="Times New Roman" w:hint="eastAsia"/>
        </w:rPr>
        <w:t>小类算法设计与应用类作品，主要以算法为核心主题，以编程的方式解决实际问题并得以应用。既可以使用经典的传统算法，也可以利用机器学习、深度学习等新兴算法与技术，支持</w:t>
      </w:r>
      <w:r w:rsidRPr="00713C28">
        <w:rPr>
          <w:rFonts w:ascii="Times New Roman" w:eastAsia="仿宋_GB2312" w:hAnsi="Times New Roman" w:cs="Times New Roman" w:hint="eastAsia"/>
        </w:rPr>
        <w:t>C</w:t>
      </w:r>
      <w:r w:rsidRPr="00713C28">
        <w:rPr>
          <w:rFonts w:ascii="Times New Roman" w:eastAsia="仿宋_GB2312" w:hAnsi="Times New Roman" w:cs="Times New Roman" w:hint="eastAsia"/>
        </w:rPr>
        <w:t>、</w:t>
      </w:r>
      <w:r w:rsidRPr="00713C28">
        <w:rPr>
          <w:rFonts w:ascii="Times New Roman" w:eastAsia="仿宋_GB2312" w:hAnsi="Times New Roman" w:cs="Times New Roman" w:hint="eastAsia"/>
        </w:rPr>
        <w:t>C++</w:t>
      </w:r>
      <w:r w:rsidRPr="00713C28">
        <w:rPr>
          <w:rFonts w:ascii="Times New Roman" w:eastAsia="仿宋_GB2312" w:hAnsi="Times New Roman" w:cs="Times New Roman" w:hint="eastAsia"/>
        </w:rPr>
        <w:t>、</w:t>
      </w:r>
      <w:r w:rsidRPr="00713C28">
        <w:rPr>
          <w:rFonts w:ascii="Times New Roman" w:eastAsia="仿宋_GB2312" w:hAnsi="Times New Roman" w:cs="Times New Roman" w:hint="eastAsia"/>
        </w:rPr>
        <w:t>Python</w:t>
      </w:r>
      <w:r w:rsidRPr="00713C28">
        <w:rPr>
          <w:rFonts w:ascii="Times New Roman" w:eastAsia="仿宋_GB2312" w:hAnsi="Times New Roman" w:cs="Times New Roman" w:hint="eastAsia"/>
        </w:rPr>
        <w:t>、</w:t>
      </w:r>
      <w:r w:rsidRPr="00713C28">
        <w:rPr>
          <w:rFonts w:ascii="Times New Roman" w:eastAsia="仿宋_GB2312" w:hAnsi="Times New Roman" w:cs="Times New Roman" w:hint="eastAsia"/>
        </w:rPr>
        <w:t>MATLAB</w:t>
      </w:r>
      <w:r w:rsidRPr="00713C28">
        <w:rPr>
          <w:rFonts w:ascii="Times New Roman" w:eastAsia="仿宋_GB2312" w:hAnsi="Times New Roman" w:cs="Times New Roman" w:hint="eastAsia"/>
        </w:rPr>
        <w:t>等多种语言实现。涉及算法设计、逻辑推理、数学建模、编程实现等综合能力。</w:t>
      </w:r>
    </w:p>
    <w:p w14:paraId="04505474" w14:textId="77777777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 w:hint="eastAsia"/>
        </w:rPr>
        <w:t>小类</w:t>
      </w:r>
      <w:r w:rsidRPr="00A11838">
        <w:rPr>
          <w:rFonts w:ascii="Times New Roman" w:eastAsia="仿宋_GB2312" w:hAnsi="Times New Roman" w:cs="Times New Roman" w:hint="eastAsia"/>
        </w:rPr>
        <w:t>软件应用与开发专项赛采用</w:t>
      </w:r>
      <w:r>
        <w:rPr>
          <w:rFonts w:ascii="Times New Roman" w:eastAsia="仿宋_GB2312" w:hAnsi="Times New Roman" w:cs="Times New Roman" w:hint="eastAsia"/>
        </w:rPr>
        <w:t>国赛</w:t>
      </w:r>
      <w:r w:rsidRPr="00A11838">
        <w:rPr>
          <w:rFonts w:ascii="Times New Roman" w:eastAsia="仿宋_GB2312" w:hAnsi="Times New Roman" w:cs="Times New Roman" w:hint="eastAsia"/>
        </w:rPr>
        <w:t>组委会命题方式，赛题（不超过</w:t>
      </w:r>
      <w:r w:rsidRPr="00A11838">
        <w:rPr>
          <w:rFonts w:ascii="Times New Roman" w:eastAsia="仿宋_GB2312" w:hAnsi="Times New Roman" w:cs="Times New Roman" w:hint="eastAsia"/>
        </w:rPr>
        <w:t xml:space="preserve"> 3 </w:t>
      </w:r>
      <w:proofErr w:type="gramStart"/>
      <w:r w:rsidRPr="00A11838">
        <w:rPr>
          <w:rFonts w:ascii="Times New Roman" w:eastAsia="仿宋_GB2312" w:hAnsi="Times New Roman" w:cs="Times New Roman" w:hint="eastAsia"/>
        </w:rPr>
        <w:t>个</w:t>
      </w:r>
      <w:proofErr w:type="gramEnd"/>
      <w:r w:rsidRPr="00A11838">
        <w:rPr>
          <w:rFonts w:ascii="Times New Roman" w:eastAsia="仿宋_GB2312" w:hAnsi="Times New Roman" w:cs="Times New Roman" w:hint="eastAsia"/>
        </w:rPr>
        <w:t>）将适时在</w:t>
      </w:r>
      <w:r>
        <w:rPr>
          <w:rFonts w:ascii="Times New Roman" w:eastAsia="仿宋_GB2312" w:hAnsi="Times New Roman" w:cs="Times New Roman" w:hint="eastAsia"/>
        </w:rPr>
        <w:t>国</w:t>
      </w:r>
      <w:proofErr w:type="gramStart"/>
      <w:r w:rsidRPr="00A11838">
        <w:rPr>
          <w:rFonts w:ascii="Times New Roman" w:eastAsia="仿宋_GB2312" w:hAnsi="Times New Roman" w:cs="Times New Roman" w:hint="eastAsia"/>
        </w:rPr>
        <w:t>赛相关</w:t>
      </w:r>
      <w:proofErr w:type="gramEnd"/>
      <w:r w:rsidRPr="00A11838">
        <w:rPr>
          <w:rFonts w:ascii="Times New Roman" w:eastAsia="仿宋_GB2312" w:hAnsi="Times New Roman" w:cs="Times New Roman" w:hint="eastAsia"/>
        </w:rPr>
        <w:t>网站公布。</w:t>
      </w:r>
    </w:p>
    <w:p w14:paraId="18C4AA8E" w14:textId="77777777" w:rsidR="009B2742" w:rsidRPr="00713C28" w:rsidRDefault="009B2742" w:rsidP="009B2742">
      <w:pPr>
        <w:pStyle w:val="ab"/>
        <w:snapToGrid w:val="0"/>
        <w:ind w:firstLineChars="200" w:firstLine="420"/>
        <w:rPr>
          <w:rFonts w:ascii="Times New Roman" w:eastAsia="仿宋_GB2312" w:hAnsi="Times New Roman" w:cs="Times New Roman"/>
        </w:rPr>
      </w:pPr>
      <w:r w:rsidRPr="00713C28">
        <w:rPr>
          <w:rFonts w:ascii="Times New Roman" w:eastAsia="仿宋_GB2312" w:hAnsi="Times New Roman" w:cs="Times New Roman" w:hint="eastAsia"/>
        </w:rPr>
        <w:t>应注意和人工智能应用类作品的区别：若作品不包含或者不以人工智能算法为核心算法，则应报软件应用与开发类。</w:t>
      </w:r>
    </w:p>
    <w:p w14:paraId="7C94F5EA" w14:textId="77777777" w:rsidR="009B2742" w:rsidRPr="00995F8D" w:rsidRDefault="009B2742" w:rsidP="00995F8D">
      <w:pPr>
        <w:widowControl/>
        <w:shd w:val="clear" w:color="auto" w:fill="FFFFFF"/>
        <w:wordWrap w:val="0"/>
        <w:spacing w:after="288"/>
        <w:rPr>
          <w:rFonts w:ascii="微软雅黑" w:eastAsia="微软雅黑" w:hAnsi="微软雅黑" w:cs="宋体" w:hint="eastAsia"/>
          <w:kern w:val="0"/>
          <w:sz w:val="24"/>
          <w:szCs w:val="24"/>
          <w14:ligatures w14:val="none"/>
        </w:rPr>
      </w:pPr>
    </w:p>
    <w:p w14:paraId="5FD1893B" w14:textId="77777777" w:rsidR="00995F8D" w:rsidRPr="00995F8D" w:rsidRDefault="00995F8D" w:rsidP="009B2742">
      <w:pPr>
        <w:rPr>
          <w:rFonts w:hint="eastAsia"/>
        </w:rPr>
      </w:pPr>
    </w:p>
    <w:sectPr w:rsidR="00995F8D" w:rsidRPr="00995F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1C27D" w14:textId="77777777" w:rsidR="00BB00C6" w:rsidRDefault="00BB00C6" w:rsidP="00995F8D">
      <w:r>
        <w:separator/>
      </w:r>
    </w:p>
  </w:endnote>
  <w:endnote w:type="continuationSeparator" w:id="0">
    <w:p w14:paraId="7850F5A8" w14:textId="77777777" w:rsidR="00BB00C6" w:rsidRDefault="00BB00C6" w:rsidP="00995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7B35D" w14:textId="77777777" w:rsidR="00BB00C6" w:rsidRDefault="00BB00C6" w:rsidP="00995F8D">
      <w:r>
        <w:separator/>
      </w:r>
    </w:p>
  </w:footnote>
  <w:footnote w:type="continuationSeparator" w:id="0">
    <w:p w14:paraId="010A37AC" w14:textId="77777777" w:rsidR="00BB00C6" w:rsidRDefault="00BB00C6" w:rsidP="00995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7A36"/>
    <w:multiLevelType w:val="hybridMultilevel"/>
    <w:tmpl w:val="4D6EC44C"/>
    <w:lvl w:ilvl="0" w:tplc="6DE0899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375576C"/>
    <w:multiLevelType w:val="hybridMultilevel"/>
    <w:tmpl w:val="1616C22E"/>
    <w:lvl w:ilvl="0" w:tplc="33D2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68872200">
    <w:abstractNumId w:val="1"/>
  </w:num>
  <w:num w:numId="2" w16cid:durableId="383138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E"/>
    <w:rsid w:val="00995F8D"/>
    <w:rsid w:val="009B2742"/>
    <w:rsid w:val="00BB00C6"/>
    <w:rsid w:val="00C7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A9CC9"/>
  <w15:chartTrackingRefBased/>
  <w15:docId w15:val="{848DE683-55CE-48C8-AA75-C75DDC9B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7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F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F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F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F8D"/>
    <w:rPr>
      <w:sz w:val="18"/>
      <w:szCs w:val="18"/>
    </w:rPr>
  </w:style>
  <w:style w:type="paragraph" w:styleId="a7">
    <w:name w:val="List Paragraph"/>
    <w:basedOn w:val="a"/>
    <w:uiPriority w:val="34"/>
    <w:qFormat/>
    <w:rsid w:val="00995F8D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95F8D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995F8D"/>
    <w:rPr>
      <w:color w:val="0000FF"/>
      <w:u w:val="single"/>
    </w:rPr>
  </w:style>
  <w:style w:type="character" w:customStyle="1" w:styleId="aa">
    <w:name w:val="纯文本 字符"/>
    <w:link w:val="ab"/>
    <w:uiPriority w:val="99"/>
    <w:locked/>
    <w:rsid w:val="009B2742"/>
    <w:rPr>
      <w:rFonts w:ascii="宋体" w:hAnsi="宋体" w:cs="Courier New"/>
      <w:szCs w:val="21"/>
    </w:rPr>
  </w:style>
  <w:style w:type="paragraph" w:styleId="ab">
    <w:name w:val="Plain Text"/>
    <w:basedOn w:val="a"/>
    <w:link w:val="aa"/>
    <w:uiPriority w:val="99"/>
    <w:rsid w:val="009B2742"/>
    <w:rPr>
      <w:rFonts w:ascii="宋体" w:hAnsi="宋体" w:cs="Courier New"/>
      <w:szCs w:val="21"/>
    </w:rPr>
  </w:style>
  <w:style w:type="character" w:customStyle="1" w:styleId="11">
    <w:name w:val="纯文本 字符1"/>
    <w:basedOn w:val="a0"/>
    <w:uiPriority w:val="99"/>
    <w:semiHidden/>
    <w:rsid w:val="009B2742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9B2742"/>
    <w:rPr>
      <w:b/>
      <w:bCs/>
      <w:kern w:val="44"/>
      <w:sz w:val="44"/>
      <w:szCs w:val="44"/>
    </w:rPr>
  </w:style>
  <w:style w:type="paragraph" w:styleId="ac">
    <w:name w:val="Title"/>
    <w:basedOn w:val="a"/>
    <w:next w:val="a"/>
    <w:link w:val="ad"/>
    <w:uiPriority w:val="10"/>
    <w:qFormat/>
    <w:rsid w:val="009B274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B27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etting-h5.jscs.org.cn/single?meeting_id=60111940432798515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卜犀 禾</dc:creator>
  <cp:keywords/>
  <dc:description/>
  <cp:lastModifiedBy>卜犀 禾</cp:lastModifiedBy>
  <cp:revision>2</cp:revision>
  <dcterms:created xsi:type="dcterms:W3CDTF">2024-03-06T07:55:00Z</dcterms:created>
  <dcterms:modified xsi:type="dcterms:W3CDTF">2024-03-06T08:11:00Z</dcterms:modified>
</cp:coreProperties>
</file>