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276" w:lineRule="auto"/>
      </w:pPr>
      <w:r>
        <w:rPr>
          <w:rFonts w:ascii="Arial" w:hAnsi="Arial"/>
          <w:b/>
          <w:color w:val="1E1E2E"/>
          <w:sz w:val="44"/>
        </w:rPr>
        <w:t>CARE'OS Helix: Standalone Technical Report</w:t>
        <w:br/>
        <w:t>Module 3 — Multi-Modal Deep Pharmacogenomic Reasoning &amp; Clinical Dosing Engine</w:t>
      </w:r>
    </w:p>
    <w:p>
      <w:pPr>
        <w:spacing w:before="80" w:after="280" w:line="276" w:lineRule="auto"/>
      </w:pPr>
      <w:r>
        <w:rPr>
          <w:rFonts w:ascii="Arial" w:hAnsi="Arial"/>
          <w:i/>
          <w:color w:val="646473"/>
          <w:sz w:val="23"/>
        </w:rPr>
        <w:t>A Unified Architecture Combining Self-Attentive Variational Epistasis Autoencoding, Cross-Attention Fusion, Bayesian Gradient Boosting, and Conformal Prediction for Precision Outpatient Therapeutics</w:t>
      </w:r>
    </w:p>
    <w:tbl>
      <w:tblPr>
        <w:tblW w:type="auto" w:w="0"/>
        <w:jc w:val="center"/>
        <w:tblLayout w:type="fixed"/>
        <w:tblLook w:firstColumn="1" w:firstRow="1" w:lastColumn="0" w:lastRow="0" w:noHBand="0" w:noVBand="1" w:val="04A0"/>
      </w:tblPr>
      <w:tblGrid>
        <w:gridCol w:w="4608"/>
        <w:gridCol w:w="4608"/>
      </w:tblGrid>
      <w:tr>
        <w:tc>
          <w:tcPr>
            <w:tcW w:type="dxa" w:w="4680"/>
            <w:shd w:fill="F8F8FC"/>
            <w:tcMar>
              <w:top w:w="80" w:type="dxa"/>
              <w:bottom w:w="80" w:type="dxa"/>
              <w:left w:w="100" w:type="dxa"/>
              <w:right w:w="100" w:type="dxa"/>
            </w:tcMar>
          </w:tcPr>
          <w:p>
            <w:r>
              <w:rPr>
                <w:rFonts w:ascii="Arial" w:hAnsi="Arial"/>
                <w:b/>
                <w:color w:val="000000"/>
                <w:sz w:val="18"/>
              </w:rPr>
              <w:t xml:space="preserve">Project: </w:t>
            </w:r>
            <w:r>
              <w:rPr>
                <w:color w:val="000000"/>
                <w:sz w:val="18"/>
              </w:rPr>
              <w:t>CARE'OS Suite (Module 3 Standalone)</w:t>
              <w:br/>
            </w:r>
            <w:r>
              <w:rPr>
                <w:b/>
                <w:color w:val="000000"/>
                <w:sz w:val="18"/>
              </w:rPr>
              <w:t xml:space="preserve">Domain: </w:t>
            </w:r>
            <w:r>
              <w:rPr>
                <w:color w:val="000000"/>
                <w:sz w:val="18"/>
              </w:rPr>
              <w:t>Pharmacogenomics (PGx) &amp; CDSS</w:t>
            </w:r>
          </w:p>
        </w:tc>
        <w:tc>
          <w:tcPr>
            <w:tcW w:type="dxa" w:w="4680"/>
            <w:shd w:fill="F8F8FC"/>
            <w:tcMar>
              <w:top w:w="80" w:type="dxa"/>
              <w:bottom w:w="80" w:type="dxa"/>
              <w:left w:w="100" w:type="dxa"/>
              <w:right w:w="100" w:type="dxa"/>
            </w:tcMar>
          </w:tcPr>
          <w:p>
            <w:r>
              <w:rPr>
                <w:rFonts w:ascii="Arial" w:hAnsi="Arial"/>
                <w:b/>
                <w:color w:val="000000"/>
                <w:sz w:val="18"/>
              </w:rPr>
              <w:t xml:space="preserve">Knowledge Framework: </w:t>
            </w:r>
            <w:r>
              <w:rPr>
                <w:rFonts w:ascii="Arial" w:hAnsi="Arial"/>
                <w:color w:val="000000"/>
                <w:sz w:val="18"/>
              </w:rPr>
              <w:t>CPIC Levels A &amp; B, PharmGKB, DPWG</w:t>
              <w:br/>
            </w:r>
            <w:r>
              <w:rPr>
                <w:rFonts w:ascii="Arial" w:hAnsi="Arial"/>
                <w:b/>
                <w:color w:val="000000"/>
                <w:sz w:val="18"/>
              </w:rPr>
              <w:t xml:space="preserve">Theme Paradigm: </w:t>
            </w:r>
            <w:r>
              <w:rPr>
                <w:rFonts w:ascii="Arial" w:hAnsi="Arial"/>
                <w:color w:val="000000"/>
                <w:sz w:val="18"/>
              </w:rPr>
              <w:t>Catppuccin Mocha Technical Palette</w:t>
            </w:r>
          </w:p>
        </w:tc>
      </w:tr>
      <w:tr>
        <w:tc>
          <w:tcPr>
            <w:tcW w:type="dxa" w:w="4680"/>
            <w:shd w:fill="F8F8FC"/>
            <w:tcMar>
              <w:top w:w="80" w:type="dxa"/>
              <w:bottom w:w="80" w:type="dxa"/>
              <w:left w:w="100" w:type="dxa"/>
              <w:right w:w="100" w:type="dxa"/>
            </w:tcMar>
          </w:tcPr>
          <w:p>
            <w:r>
              <w:rPr>
                <w:rFonts w:ascii="Arial" w:hAnsi="Arial"/>
                <w:b/>
                <w:color w:val="000000"/>
                <w:sz w:val="18"/>
              </w:rPr>
              <w:t xml:space="preserve">Date of Submission: </w:t>
            </w:r>
            <w:r>
              <w:rPr>
                <w:rFonts w:ascii="Arial" w:hAnsi="Arial"/>
                <w:color w:val="000000"/>
                <w:sz w:val="18"/>
              </w:rPr>
              <w:t>October 2026</w:t>
              <w:br/>
            </w:r>
            <w:r>
              <w:rPr>
                <w:rFonts w:ascii="Arial" w:hAnsi="Arial"/>
                <w:b/>
                <w:color w:val="000000"/>
                <w:sz w:val="18"/>
              </w:rPr>
              <w:t xml:space="preserve">Version: </w:t>
            </w:r>
            <w:r>
              <w:rPr>
                <w:rFonts w:ascii="Arial" w:hAnsi="Arial"/>
                <w:color w:val="000000"/>
                <w:sz w:val="18"/>
              </w:rPr>
              <w:t>3.2.0-Production Final</w:t>
            </w:r>
          </w:p>
        </w:tc>
        <w:tc>
          <w:tcPr>
            <w:tcW w:type="dxa" w:w="4680"/>
            <w:shd w:fill="F8F8FC"/>
            <w:tcMar>
              <w:top w:w="80" w:type="dxa"/>
              <w:bottom w:w="80" w:type="dxa"/>
              <w:left w:w="100" w:type="dxa"/>
              <w:right w:w="100" w:type="dxa"/>
            </w:tcMar>
          </w:tcPr>
          <w:p>
            <w:r>
              <w:rPr>
                <w:rFonts w:ascii="Arial" w:hAnsi="Arial"/>
                <w:b/>
                <w:color w:val="000000"/>
                <w:sz w:val="18"/>
              </w:rPr>
              <w:t xml:space="preserve">Target Standard: </w:t>
            </w:r>
            <w:r>
              <w:rPr>
                <w:rFonts w:ascii="Arial" w:hAnsi="Arial"/>
                <w:color w:val="000000"/>
                <w:sz w:val="18"/>
              </w:rPr>
              <w:t>HL7 FHIR R4 &amp; CPIC Level A</w:t>
              <w:br/>
            </w:r>
            <w:r>
              <w:rPr>
                <w:rFonts w:ascii="Arial" w:hAnsi="Arial"/>
                <w:b/>
                <w:color w:val="000000"/>
                <w:sz w:val="18"/>
              </w:rPr>
              <w:t xml:space="preserve">Supervision / Review: </w:t>
            </w:r>
            <w:r>
              <w:rPr>
                <w:rFonts w:ascii="Arial" w:hAnsi="Arial"/>
                <w:color w:val="000000"/>
                <w:sz w:val="18"/>
              </w:rPr>
              <w:t>Clinical Pharmacology &amp; AI Viva Panel</w:t>
            </w:r>
          </w:p>
        </w:tc>
      </w:tr>
    </w:tbl>
    <w:p>
      <w:pPr>
        <w:spacing w:after="240"/>
      </w:pPr>
    </w:p>
    <w:p>
      <w:pPr>
        <w:pStyle w:val="Heading1"/>
        <w:keepNext/>
        <w:spacing w:before="320" w:after="120" w:line="276" w:lineRule="auto"/>
      </w:pPr>
      <w:r>
        <w:rPr>
          <w:rFonts w:ascii="Arial" w:hAnsi="Arial"/>
          <w:b/>
          <w:color w:val="1E1E2E"/>
          <w:sz w:val="32"/>
        </w:rPr>
        <w:t>Executive Summary</w:t>
      </w:r>
    </w:p>
    <w:p>
      <w:pPr>
        <w:spacing w:before="0" w:after="160" w:line="276" w:lineRule="auto"/>
      </w:pPr>
      <w:r>
        <w:rPr>
          <w:color w:val="7238AF"/>
          <w:sz w:val="16"/>
        </w:rPr>
        <w:t>――――――――――――――――――――――――――――――――――――――――――――――――――――――――――</w:t>
      </w:r>
    </w:p>
    <w:p>
      <w:pPr>
        <w:spacing w:before="0" w:after="160" w:line="276" w:lineRule="auto"/>
      </w:pPr>
      <w:r>
        <w:rPr>
          <w:rFonts w:ascii="Arial" w:hAnsi="Arial"/>
          <w:color w:val="000000"/>
          <w:sz w:val="20"/>
        </w:rPr>
        <w:t>Adverse drug reactions (ADRs) and therapeutic failures represent two of the greatest preventable challenges in contemporary global healthcare, accounting for over 6.5% of all hospital admissions and billions of dollars in avoidable expenditure annually. A substantial proportion of these adverse outcomes is attributable to inter-individual genetic polymorphisms in cytochrome P450 enzymes (e.g., CYP2C19, CYP2D6, CYP2C9), drug transporters (SLCO1B1), and metabolic effectors (VKORC1, DPYD, TPMT). Despite the existence of international Clinical Pharmacogenetics Implementation Consortium (CPIC) guidelines, their routine deployment at the clinical point-of-care remains severely impeded by computational, workflow, and interface bottlenecks. Traditional approaches rely on static, isolated lookup tables that ignore high-dimensional non-linear epistatic interactions between genomic loci, fail to integrate tabular clinical biomarkers (e.g., creatinine clearance, AST, ALT, baseline INR), and lack calibrated uncertainty quantification.</w:t>
        <w:br/>
        <w:br/>
        <w:t>To resolve these foundational shortcomings, this report presents the engineering, scientific rationale, and empirical evaluation of CARE'OS Helix (Module 3)—an autonomous, multi-modal pharmacogenomic treatment recommendation engine. Module 3 accepts structured medication and diagnosis trigger payloads, transforms 230+ single nucleotide polymorphisms (SNPs) via a self-attentive Variational Autoencoder (VAE) to overcome dimensionality and capture epistatic interactions, combines latent genomics with continuous gene expression and clinical phenotypes through a learnable gated cross-attention fusion layer, and executes dual downstream predictors: an Optuna-tuned Bayesian XGBoost classifier for drug response categorization and a gradient boosting regressor equipped with distribution-free conformal prediction intervals (90% confidence) for starting dose optimization. All inferences are paired with game-theoretic TreeSHAP feature attributions and grounded against a nine-panel curated CPIC Level A/B knowledge base, delivering HL7 FHIR R4-compliant pharmacogenomic review flags and structured SOAP notes.</w:t>
      </w:r>
    </w:p>
    <w:p>
      <w:pPr>
        <w:pStyle w:val="Heading1"/>
        <w:keepNext/>
        <w:spacing w:before="320" w:after="120" w:line="276" w:lineRule="auto"/>
      </w:pPr>
      <w:r>
        <w:rPr>
          <w:rFonts w:ascii="Arial" w:hAnsi="Arial"/>
          <w:b/>
          <w:color w:val="1E1E2E"/>
          <w:sz w:val="32"/>
        </w:rPr>
        <w:t>1. Project Objectives</w:t>
      </w:r>
    </w:p>
    <w:p>
      <w:pPr>
        <w:spacing w:before="0" w:after="160" w:line="276" w:lineRule="auto"/>
      </w:pPr>
      <w:r>
        <w:rPr>
          <w:color w:val="7238AF"/>
          <w:sz w:val="16"/>
        </w:rPr>
        <w:t>――――――――――――――――――――――――――――――――――――――――――――――――――――――――――</w:t>
      </w:r>
    </w:p>
    <w:p>
      <w:pPr>
        <w:spacing w:before="0" w:after="120" w:line="276" w:lineRule="auto"/>
      </w:pPr>
      <w:r>
        <w:rPr>
          <w:rFonts w:ascii="Arial" w:hAnsi="Arial"/>
          <w:color w:val="000000"/>
          <w:sz w:val="20"/>
        </w:rPr>
        <w:t>The primary purpose of Module 3 within the broader CARE'OS clinical intelligence architecture is to transition clinical pharmacotherapy from empiric 'trial-and-error' prescribing to precision genotype-directed therapeutics. The project addresses the following specific research and engineering objectives:</w:t>
      </w:r>
    </w:p>
    <w:p>
      <w:pPr>
        <w:pStyle w:val="ListBullet"/>
        <w:spacing w:before="0" w:after="80" w:line="276" w:lineRule="auto"/>
      </w:pPr>
      <w:r>
        <w:rPr>
          <w:rFonts w:ascii="Arial" w:hAnsi="Arial"/>
          <w:b/>
          <w:color w:val="1E1E2E"/>
          <w:sz w:val="20"/>
        </w:rPr>
        <w:t xml:space="preserve">High-Dimensional Epistatic SNP Representation: </w:t>
      </w:r>
      <w:r>
        <w:rPr>
          <w:rFonts w:ascii="Arial" w:hAnsi="Arial"/>
          <w:color w:val="000000"/>
          <w:sz w:val="20"/>
        </w:rPr>
        <w:t>Develop and train a PyTorch Variational Autoencoder incorporating multi-head self-attention mechanisms to compress 230+ discrete genomic variant loci into a smooth 16-dimensional latent manifold, capturing multi-locus gene-gene epistatic interactions that linear methods (e.g., PCA) fail to resolve.</w:t>
      </w:r>
    </w:p>
    <w:p>
      <w:pPr>
        <w:pStyle w:val="ListBullet"/>
        <w:spacing w:before="0" w:after="80" w:line="276" w:lineRule="auto"/>
      </w:pPr>
      <w:r>
        <w:rPr>
          <w:rFonts w:ascii="Arial" w:hAnsi="Arial"/>
          <w:b/>
          <w:color w:val="1E1E2E"/>
          <w:sz w:val="20"/>
        </w:rPr>
        <w:t xml:space="preserve">Multi-Modal Cross-Attention Data Fusion: </w:t>
      </w:r>
      <w:r>
        <w:rPr>
          <w:rFonts w:ascii="Arial" w:hAnsi="Arial"/>
          <w:color w:val="000000"/>
          <w:sz w:val="20"/>
        </w:rPr>
        <w:t>Engineer a dynamic fusion architecture utilizing cross-attention and learnable modality gating to unify high-dimensional latent genomics, continuous transcriptomic gene expression, and tabular physiological indicators (CrCl, eGFR, AST, ALT, bilirubin, INR, age, weight).</w:t>
      </w:r>
    </w:p>
    <w:p>
      <w:pPr>
        <w:pStyle w:val="ListBullet"/>
        <w:spacing w:before="0" w:after="80" w:line="276" w:lineRule="auto"/>
      </w:pPr>
      <w:r>
        <w:rPr>
          <w:rFonts w:ascii="Arial" w:hAnsi="Arial"/>
          <w:b/>
          <w:color w:val="1E1E2E"/>
          <w:sz w:val="20"/>
        </w:rPr>
        <w:t xml:space="preserve">Bayesian-Optimized Drug Response Classification: </w:t>
      </w:r>
      <w:r>
        <w:rPr>
          <w:rFonts w:ascii="Arial" w:hAnsi="Arial"/>
          <w:color w:val="000000"/>
          <w:sz w:val="20"/>
        </w:rPr>
        <w:t>Implement an XGBoost multi-class classifier optimized via Tree-structured Parzen Estimator (TPE) Bayesian optimization in Optuna to classify patient outcomes into Responder, Non-Responder, and Adverse Event Risk categories with calibrated posterior probabilities.</w:t>
      </w:r>
    </w:p>
    <w:p>
      <w:pPr>
        <w:pStyle w:val="ListBullet"/>
        <w:spacing w:before="0" w:after="80" w:line="276" w:lineRule="auto"/>
      </w:pPr>
      <w:r>
        <w:rPr>
          <w:rFonts w:ascii="Arial" w:hAnsi="Arial"/>
          <w:b/>
          <w:color w:val="1E1E2E"/>
          <w:sz w:val="20"/>
        </w:rPr>
        <w:t xml:space="preserve">Conformal Dosing Regression with Rigorous Uncertainty Quantification: </w:t>
      </w:r>
      <w:r>
        <w:rPr>
          <w:rFonts w:ascii="Arial" w:hAnsi="Arial"/>
          <w:color w:val="000000"/>
          <w:sz w:val="20"/>
        </w:rPr>
        <w:t>Construct a gradient boosting regression pipeline providing exact starting dose recommendations (e.g., warfarin mg/day) bounded by distribution-free conformal prediction intervals at a 90% coverage guarantee, preventing hazardous over-dosing.</w:t>
      </w:r>
    </w:p>
    <w:p>
      <w:pPr>
        <w:pStyle w:val="ListBullet"/>
        <w:spacing w:before="0" w:after="80" w:line="276" w:lineRule="auto"/>
      </w:pPr>
      <w:r>
        <w:rPr>
          <w:rFonts w:ascii="Arial" w:hAnsi="Arial"/>
          <w:b/>
          <w:color w:val="1E1E2E"/>
          <w:sz w:val="20"/>
        </w:rPr>
        <w:t xml:space="preserve">Local Explainability &amp; CPIC Guideline Grounding: </w:t>
      </w:r>
      <w:r>
        <w:rPr>
          <w:rFonts w:ascii="Arial" w:hAnsi="Arial"/>
          <w:color w:val="000000"/>
          <w:sz w:val="20"/>
        </w:rPr>
        <w:t>Embed Shapley Additive Explanations (TreeSHAP) to calculate per-patient feature importance attributions across all top-10 biomarkers, seamlessly synthesized with a rule-based expert system encapsulating 9 major CPIC Level A/B clinical practice guidelines.</w:t>
      </w:r>
    </w:p>
    <w:p>
      <w:pPr>
        <w:pStyle w:val="ListBullet"/>
        <w:spacing w:before="0" w:after="80" w:line="276" w:lineRule="auto"/>
      </w:pPr>
      <w:r>
        <w:rPr>
          <w:rFonts w:ascii="Arial" w:hAnsi="Arial"/>
          <w:b/>
          <w:color w:val="1E1E2E"/>
          <w:sz w:val="20"/>
        </w:rPr>
        <w:t xml:space="preserve">Interoperable Clinical Delivery &amp; Catppuccin UX: </w:t>
      </w:r>
      <w:r>
        <w:rPr>
          <w:rFonts w:ascii="Arial" w:hAnsi="Arial"/>
          <w:color w:val="000000"/>
          <w:sz w:val="20"/>
        </w:rPr>
        <w:t>Expose the entire engine through standardized JSON payloads, HL7 FHIR R4 clinical observation bundles, automated SOAP note appendix generation, and a high-fidelity diagnostic dashboard rendered in the Catppuccin Mocha aesthetic palette.</w:t>
      </w:r>
    </w:p>
    <w:p>
      <w:pPr>
        <w:pStyle w:val="Heading1"/>
        <w:keepNext/>
        <w:spacing w:before="320" w:after="120" w:line="276" w:lineRule="auto"/>
      </w:pPr>
      <w:r>
        <w:rPr>
          <w:rFonts w:ascii="Arial" w:hAnsi="Arial"/>
          <w:b/>
          <w:color w:val="1E1E2E"/>
          <w:sz w:val="32"/>
        </w:rPr>
        <w:t>2. Literature Review</w:t>
      </w:r>
    </w:p>
    <w:p>
      <w:pPr>
        <w:spacing w:before="0" w:after="160" w:line="276" w:lineRule="auto"/>
      </w:pPr>
      <w:r>
        <w:rPr>
          <w:color w:val="7238AF"/>
          <w:sz w:val="16"/>
        </w:rPr>
        <w:t>――――――――――――――――――――――――――――――――――――――――――――――――――――――――――</w:t>
      </w:r>
    </w:p>
    <w:p>
      <w:pPr>
        <w:pStyle w:val="Heading2"/>
        <w:keepNext/>
        <w:spacing w:before="240" w:after="80" w:line="276" w:lineRule="auto"/>
      </w:pPr>
      <w:r>
        <w:rPr>
          <w:rFonts w:ascii="Arial" w:hAnsi="Arial"/>
          <w:b/>
          <w:color w:val="1E1E2E"/>
          <w:sz w:val="26"/>
        </w:rPr>
        <w:t>2.1 The Crisis of Adverse Drug Events and Pharmacogenetic Foundations</w:t>
      </w:r>
    </w:p>
    <w:p>
      <w:pPr>
        <w:spacing w:before="0" w:after="120" w:line="276" w:lineRule="auto"/>
      </w:pPr>
      <w:r>
        <w:rPr>
          <w:rFonts w:ascii="Arial" w:hAnsi="Arial"/>
          <w:color w:val="000000"/>
          <w:sz w:val="20"/>
        </w:rPr>
        <w:t>Adverse drug reactions (ADRs) persist as an acute epidemiological and economic strain on contemporary inpatient and outpatient clinical systems worldwide. Seminal surveillance studies by Pirmohamed et al. (2004) and subsequent contemporary updates by Rodrigues et al. (2022) established that over 6.5% of all acute medical admissions are directly triggered by adverse drug events, with more than 70% of these occurrences classified as pharmacologically predictable and clinically preventable. Inter-individual variability in therapeutic drug response spans a wide continuum—ranging from profound therapeutic failure and disease progression to fatal toxicities such as Steven-Johnson Syndrome (SJS), toxic epidermal necrolysis (TEN), severe statin-induced rhabdomyolysis, and major gastrointestinal or intracranial hemorrhages (Relling &amp; Evans, 2015; Caudle et al., 2016).</w:t>
        <w:br/>
        <w:br/>
        <w:t>Pharmacogenomics (PGx) investigates how inherited and acquired sequence variations dictate drug absorption, distribution, metabolism, and excretion (ADME), alongside drug target sensitivity. The cytochrome P450 (CYP450) superfamily of hepatic enzymes is responsible for the biotransformation of approximately 75–80% of all clinically prescribed pharmaceuticals (Zanger &amp; Schwab, 2013). Variants within the CYP2C19 gene, for instance, dramatically alter the bioactivation of clopidogrel, an antiplatelet prodrug essential for preventing stent thrombosis following percutaneous coronary intervention (PCI). Patients carrying CYP2C19 loss-of-function alleles (*2, *3) exhibit impaired bioactivation, diminished platelet inhibition, and a 1.5- to 3-fold heightened incidence of major adverse cardiovascular events (MACE) and stent thrombosis (Mega et al., 2009; Scott et al., 2013). Conversely, ultra-rapid metabolizers (*17) demonstrate accelerated bioactivation, predisposing them to hemorrhagic sequelae. Similar pharmacokinetic vulnerabilities occur with CYP2D6 in opioid analgesia (codeine, tramadol) and neuropsychiatric medications (Caudle et al., 2020; Bousman et al., 2023), as well as CYP2C9 and VKORC1 in narrow therapeutic index anticoagulation with warfarin (Johnson et al., 2017).</w:t>
      </w:r>
    </w:p>
    <w:p>
      <w:pPr>
        <w:pStyle w:val="Heading2"/>
        <w:keepNext/>
        <w:spacing w:before="240" w:after="80" w:line="276" w:lineRule="auto"/>
      </w:pPr>
      <w:r>
        <w:rPr>
          <w:rFonts w:ascii="Arial" w:hAnsi="Arial"/>
          <w:b/>
          <w:color w:val="1E1E2E"/>
          <w:sz w:val="26"/>
        </w:rPr>
        <w:t>2.2 Clinical Practice Guidelines: CPIC, PharmGKB, and the Implementation Gap</w:t>
      </w:r>
    </w:p>
    <w:p>
      <w:pPr>
        <w:spacing w:before="0" w:after="120" w:line="276" w:lineRule="auto"/>
      </w:pPr>
      <w:r>
        <w:rPr>
          <w:rFonts w:ascii="Arial" w:hAnsi="Arial"/>
          <w:color w:val="000000"/>
          <w:sz w:val="20"/>
        </w:rPr>
        <w:t>To codify genomic associations into actionable clinical directives, the Clinical Pharmacogenetics Implementation Consortium (CPIC) and the Dutch Pharmacogenetics Working Group (DPWG) have published evidence-based clinical practice guidelines that translate diplotype genotypes into metabolic phenotypes and clear therapeutic recommendations (Relling &amp; Klein, 2011; Swen et al., 2011; Crews et al., 2014). The Pharmacogenomics Knowledgebase (PharmGKB) curates and annotates these interactions, categorizing Level A guidelines as those where genetic information should be used to alter prescribing due to compelling scientific evidence of clinical utility (Whirl-Carrillo et al., 2021).</w:t>
        <w:br/>
        <w:br/>
        <w:t>Despite this robust empirical foundation, routine clinical adoption remains dismally low. As highlighted by Dunnenberger et al. (2015) and substantiated in recent institutional multi-site trials by Van Driest et al. (2022), the 'implementation gap' in genomic medicine is driven by three persistent barriers: (i) alert fatigue triggered by primitive Electronic Health Record (EHR) interruptive popups that lack clinical nuance; (ii) static, binary rule structures that cannot synthesize polygenic risk scores or multi-locus epistatic combinations; and (iii) the total dissociation of genomic alerts from contemporaneous physiological context, such as renal clearance (CrCl) or hepatic function markers (ALT, AST, total bilirubin). When a clinical alert ignores that a patient has severe renal impairment while evaluating a CYP-metabolized drug with renal excretion, clinicians rapidly lose trust in the system and bypass the advisory.</w:t>
      </w:r>
    </w:p>
    <w:p>
      <w:pPr>
        <w:pStyle w:val="Heading2"/>
        <w:keepNext/>
        <w:spacing w:before="240" w:after="80" w:line="276" w:lineRule="auto"/>
      </w:pPr>
      <w:r>
        <w:rPr>
          <w:rFonts w:ascii="Arial" w:hAnsi="Arial"/>
          <w:b/>
          <w:color w:val="1E1E2E"/>
          <w:sz w:val="26"/>
        </w:rPr>
        <w:t>2.3 Machine Learning and Deep Epistatic Dimensionality Reduction</w:t>
      </w:r>
    </w:p>
    <w:p>
      <w:pPr>
        <w:spacing w:before="0" w:after="120" w:line="276" w:lineRule="auto"/>
      </w:pPr>
      <w:r>
        <w:rPr>
          <w:rFonts w:ascii="Arial" w:hAnsi="Arial"/>
          <w:color w:val="000000"/>
          <w:sz w:val="20"/>
        </w:rPr>
        <w:t>Recent advances in biomedical machine learning have sought to transition beyond univariate Mendelian rules toward multivariate statistical learning (Menden et al., 2019; Baptista et al., 2021). Traditional pharmacogenomic datasets are notoriously characterized by the 'curse of dimensionality' (p &gt;&gt; n), wherein the number of assayed single nucleotide polymorphisms (SNPs) and structural variants vastly exceeds the number of enrolled patients in clinical trial cohorts (Guyon &amp; Elisseeff, 2003). While classical dimensionality reduction techniques such as Principal Component Analysis (PCA) and t-Distributed Stochastic Neighbor Embedding (t-SNE) are widely applied, they operate under strict linear assumptions or non-parametric local distance preservation that fail to model biological epistasis—the non-linear, cooperative interaction between distinct genetic loci where the phenotypic effect of one variant is contingent on the presence of another (Cordell, 2002; Moore et al., 2010).</w:t>
        <w:br/>
        <w:br/>
        <w:t>To capture non-linear epistasis, deep generative architectures, particularly Variational Autoencoders (VAEs), have emerged as exceptionally capable representations of biological manifolds (Kingma &amp; Welling, 2013; Higgins et al., 2017). Way and Greene (2018) demonstrated that VAEs applied to genomic pan-cancer cohorts effectively isolate meaningful latent representations of complex molecular states while avoiding overfitting. Building upon this, the integration of multi-head self-attention mechanisms (Vaswani et al., 2017) into the autoencoder backbone allows the network to compute soft pairwise interaction weights across all genomic loci simultaneously, explicitly modeling epistatic interactions regardless of genomic physical distance. When combined with cyclical KL-divergence annealing schedules (Bowman et al., 2016; Fu et al., 2019), self-attentive VAEs eliminate posterior latent collapse and yield continuous, semantically rich genomic embeddings.</w:t>
      </w:r>
    </w:p>
    <w:p>
      <w:pPr>
        <w:pStyle w:val="Heading2"/>
        <w:keepNext/>
        <w:spacing w:before="240" w:after="80" w:line="276" w:lineRule="auto"/>
      </w:pPr>
      <w:r>
        <w:rPr>
          <w:rFonts w:ascii="Arial" w:hAnsi="Arial"/>
          <w:b/>
          <w:color w:val="1E1E2E"/>
          <w:sz w:val="26"/>
        </w:rPr>
        <w:t>2.4 Multi-Modal Fusion, Explainability, and Uncertainty Quantification in Healthcare</w:t>
      </w:r>
    </w:p>
    <w:p>
      <w:pPr>
        <w:spacing w:before="0" w:after="120" w:line="276" w:lineRule="auto"/>
      </w:pPr>
      <w:r>
        <w:rPr>
          <w:rFonts w:ascii="Arial" w:hAnsi="Arial"/>
          <w:color w:val="000000"/>
          <w:sz w:val="20"/>
        </w:rPr>
        <w:t>Precision therapeutics inherently represents a multi-modal problem. A patient's drug clearance is governed not merely by their germline DNA sequence, but by the dynamic interplay between transcriptomic activity (gene expression) and physiological organ function (Huang et al., 2020; Kline et al., 2022). Simple feature concatenation ('early fusion') treats all modalities equally, allowing high-dimensional genomic features to mathematically overwhelm low-dimensional yet clinically decisive physiological markers (e.g., serum creatinine or age) (Baltrušaitis et al., 2018). Advanced fusion architectures utilize cross-attention networks and learnable modality gates, allowing clinical features to actively query genomic embeddings and dynamically weight each data modality on a patient-by-patient basis (Zhang et al., 2020; Chen et al., 2021).</w:t>
        <w:br/>
        <w:br/>
        <w:t>In life-critical clinical environments, machine learning predictions cannot be delivered as uninterpretable black boxes. The European Union General Data Protection Regulation (GDPR) and FDA Good Machine Learning Practice (GMLP) guidelines mandate meaningful algorithmic transparency and the 'right to explanation' (Goodman &amp; Flaxman, 2017). Game-theoretic Shapley Additive Explanations (SHAP), introduced by Lundberg and Lee (2017) and expanded into TreeSHAP (Lundberg et al., 2020), provide mathematically rigorous, consistent, and locally accurate feature attributions that attribute the exact marginal contribution of each variant or physiological marker to the predicted clinical risk.</w:t>
        <w:br/>
        <w:br/>
        <w:t>Furthermore, deterministic point estimates in dose regression (e.g., recommending exactly '4.2 mg/day' of warfarin) are fundamentally hazardous without rigorous uncertainty quantification. Traditional Bayesian neural networks or quantile regression methods rely on strict distributional assumptions that are frequently violated in heterogeneous clinical cohorts. Conformal prediction, formalized by Vovk et al. (2005) and adapted for modern biomedical learning by Angelopoulos and Bates (2021), establishes finite-sample, distribution-free valid prediction intervals. For any chosen user-defined significance level alpha (e.g., alpha = 0.10 for a 90% confidence interval), conformal prediction guarantees that the true therapeutic dose falls within the bounds with marginal probability of at least 1 - alpha, providing clinicians with vital boundary awareness.</w:t>
      </w:r>
    </w:p>
    <w:p>
      <w:pPr>
        <w:pStyle w:val="Heading2"/>
        <w:keepNext/>
        <w:spacing w:before="240" w:after="80" w:line="276" w:lineRule="auto"/>
      </w:pPr>
      <w:r>
        <w:rPr>
          <w:rFonts w:ascii="Arial" w:hAnsi="Arial"/>
          <w:b/>
          <w:color w:val="1E1E2E"/>
          <w:sz w:val="26"/>
        </w:rPr>
        <w:t>2.5 Benchmark Datasets &amp; Sourcing</w:t>
      </w:r>
    </w:p>
    <w:p>
      <w:pPr>
        <w:spacing w:before="0" w:after="160" w:line="276" w:lineRule="auto"/>
      </w:pPr>
      <w:r>
        <w:rPr>
          <w:rFonts w:ascii="Arial" w:hAnsi="Arial"/>
          <w:color w:val="000000"/>
          <w:sz w:val="20"/>
        </w:rPr>
        <w:t>Empirical studies in clinical pharmacogenomics frequently draw upon validated international clinical repositories. The standard benchmark for warfarin pharmacogenetic dosing is the International Warfarin Pharmacogenetics Consortium (IWPC) cohort, comprising over 5,700 diverse multi-ethnic patients annotated with demographic, clinical, CYP2C9, and VKORC1 data (Klein et al., 2009). For open machine learning benchmarking and educational reproductions, corresponding standardized datasets are hosted on Kaggle under the 'Warfarin Dosing and Pharmacogenomics' repository (accessible at: https://www.kaggle.com/datasets/thedevastator/warfarin-dosing-dataset). To ensure complete biological plausibility across broad multi-drug panels (including clopidogrel, simvastatin, codeine, and fluoropyrimidines), Module 3 integrates real CPIC Level A frequency distributions with a controlled synthetic genomic-clinical simulator modeling Hardy-Weinberg equilibrium, non-linear epistatic interactions, and realistic pharmacokinetic distributions.</w:t>
      </w:r>
    </w:p>
    <w:tbl>
      <w:tblPr>
        <w:tblW w:type="auto" w:w="0"/>
        <w:jc w:val="center"/>
        <w:tblLook w:firstColumn="1" w:firstRow="1" w:lastColumn="0" w:lastRow="0" w:noHBand="0" w:noVBand="1" w:val="04A0"/>
      </w:tblPr>
      <w:tblGrid>
        <w:gridCol w:w="9360"/>
      </w:tblGrid>
      <w:tr>
        <w:tc>
          <w:tcPr>
            <w:tcW w:type="dxa" w:w="9360"/>
            <w:shd w:fill="F5F3FF"/>
            <w:tcBorders>
              <w:top w:val="none"/>
              <w:left w:val="single" w:sz="36" w:space="0" w:color="CBA6F7"/>
              <w:bottom w:val="none"/>
              <w:right w:val="none"/>
            </w:tcBorders>
            <w:tcMar>
              <w:top w:w="140" w:type="dxa"/>
              <w:bottom w:w="140" w:type="dxa"/>
              <w:left w:w="200" w:type="dxa"/>
              <w:right w:w="200" w:type="dxa"/>
            </w:tcMar>
          </w:tcPr>
          <w:p>
            <w:pPr>
              <w:spacing w:before="40" w:after="40" w:line="276" w:lineRule="auto"/>
            </w:pPr>
            <w:r>
              <w:rPr>
                <w:rFonts w:ascii="Arial" w:hAnsi="Arial"/>
                <w:b/>
                <w:color w:val="1E1E2E"/>
                <w:sz w:val="19"/>
              </w:rPr>
              <w:t xml:space="preserve">[LITERATURE SYNTHESIS &amp; MOTIVATION] </w:t>
            </w:r>
            <w:r>
              <w:rPr>
                <w:rFonts w:ascii="Arial" w:hAnsi="Arial"/>
                <w:color w:val="000000"/>
                <w:sz w:val="19"/>
              </w:rPr>
              <w:t>The literature conclusively confirms that rule-based CPIC lookups alone are insufficient to prevent ADRs. A clinically reliable engine requires deep epistatic reduction, multi-modal physiological fusion, game-theoretic SHAP explainability, and distribution-free conformal uncertainty intervals. Module 3 was engineered specifically to bridge these documented scientific gaps.</w:t>
            </w:r>
          </w:p>
        </w:tc>
      </w:tr>
    </w:tbl>
    <w:p>
      <w:pPr>
        <w:spacing w:after="80"/>
      </w:pPr>
    </w:p>
    <w:p>
      <w:pPr>
        <w:pStyle w:val="Heading1"/>
        <w:keepNext/>
        <w:spacing w:before="320" w:after="120" w:line="276" w:lineRule="auto"/>
      </w:pPr>
      <w:r>
        <w:rPr>
          <w:rFonts w:ascii="Arial" w:hAnsi="Arial"/>
          <w:b/>
          <w:color w:val="1E1E2E"/>
          <w:sz w:val="32"/>
        </w:rPr>
        <w:t>3. Proposed Methodology</w:t>
      </w:r>
    </w:p>
    <w:p>
      <w:pPr>
        <w:spacing w:before="0" w:after="160" w:line="276" w:lineRule="auto"/>
      </w:pPr>
      <w:r>
        <w:rPr>
          <w:color w:val="7238AF"/>
          <w:sz w:val="16"/>
        </w:rPr>
        <w:t>――――――――――――――――――――――――――――――――――――――――――――――――――――――――――</w:t>
      </w:r>
    </w:p>
    <w:p>
      <w:pPr>
        <w:pStyle w:val="Heading2"/>
        <w:keepNext/>
        <w:spacing w:before="240" w:after="80" w:line="276" w:lineRule="auto"/>
      </w:pPr>
      <w:r>
        <w:rPr>
          <w:rFonts w:ascii="Arial" w:hAnsi="Arial"/>
          <w:b/>
          <w:color w:val="1E1E2E"/>
          <w:sz w:val="26"/>
        </w:rPr>
        <w:t>3.1 System Workflow Architecture</w:t>
      </w:r>
    </w:p>
    <w:p>
      <w:pPr>
        <w:spacing w:before="0" w:after="120" w:line="276" w:lineRule="auto"/>
      </w:pPr>
      <w:r>
        <w:rPr>
          <w:rFonts w:ascii="Arial" w:hAnsi="Arial"/>
          <w:color w:val="000000"/>
          <w:sz w:val="20"/>
        </w:rPr>
        <w:t>The CARE'OS Helix (Module 3) engine operates via a strictly decoupled, modular six-stage computational pipeline. When an ambient consultation concludes in Module 2 (AI Scribe), structured trigger keys comprising ICD-10 diagnosis codes (e.g., I48.0 for atrial fibrillation, I21.0 for acute myocardial infarction, K21.0 for GERD) and proposed medication names (e.g., warfarin, clopidogrel, omeprazole) are broadcast across the inter-module communication bus. Module 3 ingests this trigger alongside the patient's multi-modal profile and executes the end-to-end pipeline shown below:</w:t>
      </w:r>
    </w:p>
    <w:p>
      <w:pPr>
        <w:spacing w:before="120" w:after="60" w:line="276" w:lineRule="auto"/>
        <w:jc w:val="center"/>
      </w:pPr>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fig0_architecture_diagram.png"/>
                    <pic:cNvPicPr/>
                  </pic:nvPicPr>
                  <pic:blipFill>
                    <a:blip r:embed="rId11"/>
                    <a:stretch>
                      <a:fillRect/>
                    </a:stretch>
                  </pic:blipFill>
                  <pic:spPr>
                    <a:xfrm>
                      <a:off x="0" y="0"/>
                      <a:ext cx="5669280" cy="2976372"/>
                    </a:xfrm>
                    <a:prstGeom prst="rect"/>
                  </pic:spPr>
                </pic:pic>
              </a:graphicData>
            </a:graphic>
          </wp:inline>
        </w:drawing>
      </w:r>
    </w:p>
    <w:p>
      <w:pPr>
        <w:spacing w:before="40" w:after="200" w:line="276" w:lineRule="auto"/>
        <w:jc w:val="center"/>
      </w:pPr>
      <w:r>
        <w:rPr>
          <w:rFonts w:ascii="Arial" w:hAnsi="Arial"/>
          <w:i/>
          <w:color w:val="646473"/>
          <w:sz w:val="18"/>
        </w:rPr>
        <w:t>Figure 1: High-Level Computational Architecture and Dataflow of CARE'OS Helix Module 3.</w:t>
      </w:r>
    </w:p>
    <w:p>
      <w:pPr>
        <w:pStyle w:val="ListBullet"/>
        <w:spacing w:before="0" w:after="80" w:line="276" w:lineRule="auto"/>
      </w:pPr>
      <w:r>
        <w:rPr>
          <w:rFonts w:ascii="Arial" w:hAnsi="Arial"/>
          <w:b/>
          <w:color w:val="1E1E2E"/>
          <w:sz w:val="20"/>
        </w:rPr>
        <w:t xml:space="preserve">Step 1: Ingestion &amp; Pydantic Validation: </w:t>
      </w:r>
      <w:r>
        <w:rPr>
          <w:rFonts w:ascii="Arial" w:hAnsi="Arial"/>
          <w:color w:val="000000"/>
          <w:sz w:val="20"/>
        </w:rPr>
        <w:t>The engine validates the incoming trigger payload (patient ID, ICD-10 codes, medication names, physician ID) and retrieves the patient's SNP genotypes (230+ loci), continuous gene expression vector, and tabular physiological indicators using strictly typed Pydantic V2 schemas.</w:t>
      </w:r>
    </w:p>
    <w:p>
      <w:pPr>
        <w:pStyle w:val="ListBullet"/>
        <w:spacing w:before="0" w:after="80" w:line="276" w:lineRule="auto"/>
      </w:pPr>
      <w:r>
        <w:rPr>
          <w:rFonts w:ascii="Arial" w:hAnsi="Arial"/>
          <w:b/>
          <w:color w:val="1E1E2E"/>
          <w:sz w:val="20"/>
        </w:rPr>
        <w:t xml:space="preserve">Step 2: Self-Attentive VAE Latent Compression: </w:t>
      </w:r>
      <w:r>
        <w:rPr>
          <w:rFonts w:ascii="Arial" w:hAnsi="Arial"/>
          <w:color w:val="000000"/>
          <w:sz w:val="20"/>
        </w:rPr>
        <w:t>High-dimensional categorical SNP genotypes are passed through multi-head self-attention encoders and projected into a regularized 16-dimensional latent manifold, extracting epistatic feature vectors z.</w:t>
      </w:r>
    </w:p>
    <w:p>
      <w:pPr>
        <w:pStyle w:val="ListBullet"/>
        <w:spacing w:before="0" w:after="80" w:line="276" w:lineRule="auto"/>
      </w:pPr>
      <w:r>
        <w:rPr>
          <w:rFonts w:ascii="Arial" w:hAnsi="Arial"/>
          <w:b/>
          <w:color w:val="1E1E2E"/>
          <w:sz w:val="20"/>
        </w:rPr>
        <w:t xml:space="preserve">Step 3: Gated Multi-Modal Data Fusion: </w:t>
      </w:r>
      <w:r>
        <w:rPr>
          <w:rFonts w:ascii="Arial" w:hAnsi="Arial"/>
          <w:color w:val="000000"/>
          <w:sz w:val="20"/>
        </w:rPr>
        <w:t>Latent genomic embeddings, gene expression profiles, and normalized clinical features pass through modality-specific linear projections followed by cross-attention and learnable gating to yield an enriched multi-modal representation.</w:t>
      </w:r>
    </w:p>
    <w:p>
      <w:pPr>
        <w:pStyle w:val="ListBullet"/>
        <w:spacing w:before="0" w:after="80" w:line="276" w:lineRule="auto"/>
      </w:pPr>
      <w:r>
        <w:rPr>
          <w:rFonts w:ascii="Arial" w:hAnsi="Arial"/>
          <w:b/>
          <w:color w:val="1E1E2E"/>
          <w:sz w:val="20"/>
        </w:rPr>
        <w:t xml:space="preserve">Step 4: Bayesian-Optimized Drug Response Classification: </w:t>
      </w:r>
      <w:r>
        <w:rPr>
          <w:rFonts w:ascii="Arial" w:hAnsi="Arial"/>
          <w:color w:val="000000"/>
          <w:sz w:val="20"/>
        </w:rPr>
        <w:t>The fused representation is evaluated by an XGBoost multi-class classifier (tuned via Optuna Bayesian optimization across 30 hyperparameter trials) to generate calibrated class probabilities for drug response.</w:t>
      </w:r>
    </w:p>
    <w:p>
      <w:pPr>
        <w:pStyle w:val="ListBullet"/>
        <w:spacing w:before="0" w:after="80" w:line="276" w:lineRule="auto"/>
      </w:pPr>
      <w:r>
        <w:rPr>
          <w:rFonts w:ascii="Arial" w:hAnsi="Arial"/>
          <w:b/>
          <w:color w:val="1E1E2E"/>
          <w:sz w:val="20"/>
        </w:rPr>
        <w:t xml:space="preserve">Step 5: Gradient Boosting Dose Regression &amp; Conformal Intervals: </w:t>
      </w:r>
      <w:r>
        <w:rPr>
          <w:rFonts w:ascii="Arial" w:hAnsi="Arial"/>
          <w:color w:val="000000"/>
          <w:sz w:val="20"/>
        </w:rPr>
        <w:t>Simultaneously, a gradient boosting regressor computes the continuous optimal starting dose, bounded by exact 90% conformal prediction intervals calibrated against non-conformity residuals.</w:t>
      </w:r>
    </w:p>
    <w:p>
      <w:pPr>
        <w:pStyle w:val="ListBullet"/>
        <w:spacing w:before="0" w:after="80" w:line="276" w:lineRule="auto"/>
      </w:pPr>
      <w:r>
        <w:rPr>
          <w:rFonts w:ascii="Arial" w:hAnsi="Arial"/>
          <w:b/>
          <w:color w:val="1E1E2E"/>
          <w:sz w:val="20"/>
        </w:rPr>
        <w:t xml:space="preserve">Step 6: CPIC Guideline Synthesis, Explainability &amp; FHIR Serialization: </w:t>
      </w:r>
      <w:r>
        <w:rPr>
          <w:rFonts w:ascii="Arial" w:hAnsi="Arial"/>
          <w:color w:val="000000"/>
          <w:sz w:val="20"/>
        </w:rPr>
        <w:t>The machine learning predictions are cross-checked against 9 CPIC Level A/B guidelines. If concordant or discordant, a structured JSON alert, top-10 TreeSHAP attributions, draft SOAP appendix, and HL7 FHIR R4 clinical observation resources are synthesized.</w:t>
      </w:r>
    </w:p>
    <w:p>
      <w:pPr>
        <w:pStyle w:val="Heading2"/>
        <w:keepNext/>
        <w:spacing w:before="240" w:after="80" w:line="276" w:lineRule="auto"/>
      </w:pPr>
      <w:r>
        <w:rPr>
          <w:rFonts w:ascii="Arial" w:hAnsi="Arial"/>
          <w:b/>
          <w:color w:val="1E1E2E"/>
          <w:sz w:val="26"/>
        </w:rPr>
        <w:t>3.2 Mathematical Formulation &amp; Core Algorithms</w:t>
      </w:r>
    </w:p>
    <w:p>
      <w:pPr>
        <w:pStyle w:val="Heading3"/>
        <w:keepNext/>
        <w:spacing w:before="160" w:after="60" w:line="276" w:lineRule="auto"/>
      </w:pPr>
      <w:r>
        <w:rPr>
          <w:rFonts w:ascii="Arial" w:hAnsi="Arial"/>
          <w:b/>
          <w:color w:val="7238AF"/>
          <w:sz w:val="22"/>
        </w:rPr>
        <w:t>3.2.1 Self-Attentive Variational Autoencoder (VAE)</w:t>
      </w:r>
    </w:p>
    <w:p>
      <w:pPr>
        <w:spacing w:before="0" w:after="80" w:line="276" w:lineRule="auto"/>
      </w:pPr>
      <w:r>
        <w:rPr>
          <w:rFonts w:ascii="Arial" w:hAnsi="Arial"/>
          <w:color w:val="000000"/>
          <w:sz w:val="20"/>
        </w:rPr>
        <w:t>Let x in {0, 1, 2}^D represent the discrete single nucleotide polymorphism (SNP) vector of dimension D = 230, where 0 corresponds to homozygous wild-type, 1 to heterozygous variant, and 2 to homozygous mutant. To explicitly capture epistatic interactions, the input is first mapped to a continuous embedding space and processed via multi-head self-attention. The scaled dot-product attention for queries Q, keys K, and values V is formulated as:</w:t>
      </w:r>
    </w:p>
    <w:p>
      <w:pPr>
        <w:spacing w:before="80" w:after="80" w:line="276" w:lineRule="auto"/>
        <w:jc w:val="center"/>
      </w:pPr>
      <w:r>
        <w:rPr>
          <w:rFonts w:ascii="Courier New" w:hAnsi="Courier New"/>
          <w:b/>
          <w:color w:val="1E1E2E"/>
          <w:sz w:val="19"/>
        </w:rPr>
        <w:t>Attention(Q, K, V) = softmax( (Q * K^T) / sqrt(d_k) ) * V           (Eq. 1)</w:t>
      </w:r>
    </w:p>
    <w:p>
      <w:pPr>
        <w:spacing w:before="0" w:after="80" w:line="276" w:lineRule="auto"/>
      </w:pPr>
      <w:r>
        <w:rPr>
          <w:rFonts w:ascii="Arial" w:hAnsi="Arial"/>
          <w:color w:val="000000"/>
          <w:sz w:val="20"/>
        </w:rPr>
        <w:t>The attended representation is subsequently passed through encoder layers to output the variational parameters mu in R^d and log(sigma^2) in R^d, defining the approximate posterior distribution q_phi(z | x). Sampling from the latent space is achieved via the reparameterization trick with epsilon ~ N(0, I):</w:t>
      </w:r>
    </w:p>
    <w:p>
      <w:pPr>
        <w:spacing w:before="80" w:after="80" w:line="276" w:lineRule="auto"/>
        <w:jc w:val="center"/>
      </w:pPr>
      <w:r>
        <w:rPr>
          <w:rFonts w:ascii="Courier New" w:hAnsi="Courier New"/>
          <w:b/>
          <w:color w:val="1E1E2E"/>
          <w:sz w:val="19"/>
        </w:rPr>
        <w:t>z = mu(x) + sigma(x) odot epsilon,    where epsilon ~ N(0, I_d)           (Eq. 2)</w:t>
      </w:r>
    </w:p>
    <w:p>
      <w:pPr>
        <w:spacing w:before="0" w:after="80" w:line="276" w:lineRule="auto"/>
      </w:pPr>
      <w:r>
        <w:rPr>
          <w:rFonts w:ascii="Arial" w:hAnsi="Arial"/>
          <w:color w:val="000000"/>
          <w:sz w:val="20"/>
        </w:rPr>
        <w:t>The objective function maximizes the Evidence Lower Bound (ELBO), consisting of multi-class cross-entropy reconstruction loss across all 3 genotype classes and the Kullback-Leibler (KL) divergence regularizer, scaled by cyclical schedule beta_t:</w:t>
      </w:r>
    </w:p>
    <w:p>
      <w:pPr>
        <w:spacing w:before="80" w:after="120" w:line="276" w:lineRule="auto"/>
        <w:jc w:val="center"/>
      </w:pPr>
      <w:r>
        <w:rPr>
          <w:rFonts w:ascii="Courier New" w:hAnsi="Courier New"/>
          <w:b/>
          <w:color w:val="1E1E2E"/>
          <w:sz w:val="19"/>
        </w:rPr>
        <w:t>L_VAE(theta, phi; x) = - E_{q_phi(z|x)} [ log p_theta(x | z) ] + beta_t * D_KL( q_phi(z | x) || p(z) )     (Eq. 3)</w:t>
      </w:r>
    </w:p>
    <w:p>
      <w:pPr>
        <w:pStyle w:val="Heading3"/>
        <w:keepNext/>
        <w:spacing w:before="160" w:after="60" w:line="276" w:lineRule="auto"/>
      </w:pPr>
      <w:r>
        <w:rPr>
          <w:rFonts w:ascii="Arial" w:hAnsi="Arial"/>
          <w:b/>
          <w:color w:val="7238AF"/>
          <w:sz w:val="22"/>
        </w:rPr>
        <w:t>3.2.2 Multi-Modal Cross-Attention Fusion</w:t>
      </w:r>
    </w:p>
    <w:p>
      <w:pPr>
        <w:spacing w:before="0" w:after="80" w:line="276" w:lineRule="auto"/>
      </w:pPr>
      <w:r>
        <w:rPr>
          <w:rFonts w:ascii="Arial" w:hAnsi="Arial"/>
          <w:color w:val="000000"/>
          <w:sz w:val="20"/>
        </w:rPr>
        <w:t>The multi-modal feature vector combines three distinct physiological modalities: (i) the compressed latent genomic vector z in R^16; (ii) continuous transcriptomic gene expression vector e in R^M; and (iii) standardized tabular clinical covariates c in R^K (age, weight, CrCl, eGFR, AST, ALT, bilirubin, INR). Each modality is first projected into a shared dimensional space d_f = 64 via dedicated projection layers: h_g = W_g * z, h_e = W_e * e, and h_c = W_c * c. The clinical context queries the genomic embeddings via cross-attention, followed by learnable gated fusion:</w:t>
      </w:r>
    </w:p>
    <w:p>
      <w:pPr>
        <w:spacing w:before="80" w:after="120" w:line="276" w:lineRule="auto"/>
        <w:jc w:val="center"/>
      </w:pPr>
      <w:r>
        <w:rPr>
          <w:rFonts w:ascii="Courier New" w:hAnsi="Courier New"/>
          <w:b/>
          <w:color w:val="1E1E2E"/>
          <w:sz w:val="19"/>
        </w:rPr>
        <w:t>h_fused = g_g odot h_g + g_e odot h_e + g_c odot h_c,    where sum_m g_m = 1       (Eq. 4)</w:t>
      </w:r>
    </w:p>
    <w:p>
      <w:pPr>
        <w:pStyle w:val="Heading3"/>
        <w:keepNext/>
        <w:spacing w:before="160" w:after="60" w:line="276" w:lineRule="auto"/>
      </w:pPr>
      <w:r>
        <w:rPr>
          <w:rFonts w:ascii="Arial" w:hAnsi="Arial"/>
          <w:b/>
          <w:color w:val="7238AF"/>
          <w:sz w:val="22"/>
        </w:rPr>
        <w:t>3.2.3 Distribution-Free Conformal Prediction Intervals</w:t>
      </w:r>
    </w:p>
    <w:p>
      <w:pPr>
        <w:spacing w:before="0" w:after="80" w:line="276" w:lineRule="auto"/>
      </w:pPr>
      <w:r>
        <w:rPr>
          <w:rFonts w:ascii="Arial" w:hAnsi="Arial"/>
          <w:color w:val="000000"/>
          <w:sz w:val="20"/>
        </w:rPr>
        <w:t>To provide rigorous dosing uncertainty bounds, Module 3 employs inductive conformal prediction. Given a calibration set {(x_i, y_i)}_{i=1}^n not used during gradient boosting training, we compute absolute non-conformity residuals R_i = | y_i - hat{f}(x_i) |. For a user-specified coverage level 1 - alpha (e.g., 90%, alpha = 0.10), the conformal quantile q_{1-alpha} is determined as the ceil( (n + 1)(1 - alpha) ) / n empirical quantile of the residuals. For any novel clinical consultation with features x_{new}, the guaranteed prediction interval is formulated as:</w:t>
      </w:r>
    </w:p>
    <w:p>
      <w:pPr>
        <w:spacing w:before="80" w:after="160" w:line="276" w:lineRule="auto"/>
        <w:jc w:val="center"/>
      </w:pPr>
      <w:r>
        <w:rPr>
          <w:rFonts w:ascii="Courier New" w:hAnsi="Courier New"/>
          <w:b/>
          <w:color w:val="1E1E2E"/>
          <w:sz w:val="19"/>
        </w:rPr>
        <w:t>C(x_{new}) = [ hat{f}(x_{new}) - q_{1-alpha},  hat{f}(x_{new}) + q_{1-alpha} ]           (Eq. 5)</w:t>
      </w:r>
    </w:p>
    <w:p>
      <w:pPr>
        <w:pStyle w:val="Heading2"/>
        <w:keepNext/>
        <w:spacing w:before="240" w:after="80" w:line="276" w:lineRule="auto"/>
      </w:pPr>
      <w:r>
        <w:rPr>
          <w:rFonts w:ascii="Arial" w:hAnsi="Arial"/>
          <w:b/>
          <w:color w:val="1E1E2E"/>
          <w:sz w:val="26"/>
        </w:rPr>
        <w:t>3.3 Curated CPIC Guideline Knowledge Base</w:t>
      </w:r>
    </w:p>
    <w:p>
      <w:pPr>
        <w:spacing w:before="0" w:after="120" w:line="276" w:lineRule="auto"/>
      </w:pPr>
      <w:r>
        <w:rPr>
          <w:rFonts w:ascii="Arial" w:hAnsi="Arial"/>
          <w:color w:val="000000"/>
          <w:sz w:val="20"/>
        </w:rPr>
        <w:t>Module 3 integrates a comprehensive expert system encoding nine foundational CPIC Level A and Level B clinical practice guidelines. Table 1 enumerates the primary gene-drug pairs, metabolic phenotypes, therapeutic actions, and evidence grades: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2D2B42"/>
            <w:tcMar>
              <w:top w:w="80" w:type="dxa"/>
              <w:bottom w:w="80" w:type="dxa"/>
              <w:left w:w="90" w:type="dxa"/>
              <w:right w:w="90" w:type="dxa"/>
            </w:tcMar>
          </w:tcPr>
          <w:p>
            <w:pPr>
              <w:spacing w:before="20" w:after="20" w:line="276" w:lineRule="auto"/>
            </w:pPr>
            <w:r>
              <w:rPr>
                <w:rFonts w:ascii="Arial" w:hAnsi="Arial"/>
                <w:b/>
                <w:color w:val="FFFFFF"/>
                <w:sz w:val="17"/>
              </w:rPr>
              <w:t>Drug Name</w:t>
            </w:r>
          </w:p>
        </w:tc>
        <w:tc>
          <w:tcPr>
            <w:tcW w:type="dxa" w:w="1728"/>
            <w:shd w:fill="2D2B42"/>
            <w:tcMar>
              <w:top w:w="80" w:type="dxa"/>
              <w:bottom w:w="80" w:type="dxa"/>
              <w:left w:w="90" w:type="dxa"/>
              <w:right w:w="90" w:type="dxa"/>
            </w:tcMar>
          </w:tcPr>
          <w:p>
            <w:pPr>
              <w:spacing w:before="20" w:after="20" w:line="276" w:lineRule="auto"/>
            </w:pPr>
            <w:r>
              <w:rPr>
                <w:rFonts w:ascii="Arial" w:hAnsi="Arial"/>
                <w:b/>
                <w:color w:val="FFFFFF"/>
                <w:sz w:val="17"/>
              </w:rPr>
              <w:t>Gene Target(s)</w:t>
            </w:r>
          </w:p>
        </w:tc>
        <w:tc>
          <w:tcPr>
            <w:tcW w:type="dxa" w:w="1872"/>
            <w:shd w:fill="2D2B42"/>
            <w:tcMar>
              <w:top w:w="80" w:type="dxa"/>
              <w:bottom w:w="80" w:type="dxa"/>
              <w:left w:w="90" w:type="dxa"/>
              <w:right w:w="90" w:type="dxa"/>
            </w:tcMar>
          </w:tcPr>
          <w:p>
            <w:pPr>
              <w:spacing w:before="20" w:after="20" w:line="276" w:lineRule="auto"/>
            </w:pPr>
            <w:r>
              <w:rPr>
                <w:rFonts w:ascii="Arial" w:hAnsi="Arial"/>
                <w:b/>
                <w:color w:val="FFFFFF"/>
                <w:sz w:val="17"/>
              </w:rPr>
              <w:t>High-Risk Phenotype</w:t>
            </w:r>
          </w:p>
        </w:tc>
        <w:tc>
          <w:tcPr>
            <w:tcW w:type="dxa" w:w="3168"/>
            <w:shd w:fill="2D2B42"/>
            <w:tcMar>
              <w:top w:w="80" w:type="dxa"/>
              <w:bottom w:w="80" w:type="dxa"/>
              <w:left w:w="90" w:type="dxa"/>
              <w:right w:w="90" w:type="dxa"/>
            </w:tcMar>
          </w:tcPr>
          <w:p>
            <w:pPr>
              <w:spacing w:before="20" w:after="20" w:line="276" w:lineRule="auto"/>
            </w:pPr>
            <w:r>
              <w:rPr>
                <w:rFonts w:ascii="Arial" w:hAnsi="Arial"/>
                <w:b/>
                <w:color w:val="FFFFFF"/>
                <w:sz w:val="17"/>
              </w:rPr>
              <w:t>Clinical Action / Recommendation</w:t>
            </w:r>
          </w:p>
        </w:tc>
        <w:tc>
          <w:tcPr>
            <w:tcW w:type="dxa" w:w="1008"/>
            <w:shd w:fill="2D2B42"/>
            <w:tcMar>
              <w:top w:w="80" w:type="dxa"/>
              <w:bottom w:w="80" w:type="dxa"/>
              <w:left w:w="90" w:type="dxa"/>
              <w:right w:w="90" w:type="dxa"/>
            </w:tcMar>
          </w:tcPr>
          <w:p>
            <w:pPr>
              <w:spacing w:before="20" w:after="20" w:line="276" w:lineRule="auto"/>
            </w:pPr>
            <w:r>
              <w:rPr>
                <w:rFonts w:ascii="Arial" w:hAnsi="Arial"/>
                <w:b/>
                <w:color w:val="FFFFFF"/>
                <w:sz w:val="17"/>
              </w:rPr>
              <w:t>CPIC Level</w:t>
            </w:r>
          </w:p>
        </w:tc>
      </w:tr>
      <w:tr>
        <w:tc>
          <w:tcPr>
            <w:tcW w:type="dxa" w:w="1584"/>
            <w:shd w:fill="F8F8FC"/>
            <w:tcMar>
              <w:top w:w="80" w:type="dxa"/>
              <w:bottom w:w="80" w:type="dxa"/>
              <w:left w:w="90" w:type="dxa"/>
              <w:right w:w="90" w:type="dxa"/>
            </w:tcMar>
          </w:tcPr>
          <w:p>
            <w:pPr>
              <w:spacing w:before="20" w:after="20" w:line="276" w:lineRule="auto"/>
            </w:pPr>
            <w:r>
              <w:rPr>
                <w:rFonts w:ascii="Arial" w:hAnsi="Arial"/>
                <w:b w:val="0"/>
                <w:color w:val="000000"/>
                <w:sz w:val="17"/>
              </w:rPr>
              <w:t>Warfarin</w:t>
            </w:r>
          </w:p>
        </w:tc>
        <w:tc>
          <w:tcPr>
            <w:tcW w:type="dxa" w:w="1728"/>
            <w:shd w:fill="F8F8FC"/>
            <w:tcMar>
              <w:top w:w="80" w:type="dxa"/>
              <w:bottom w:w="80" w:type="dxa"/>
              <w:left w:w="90" w:type="dxa"/>
              <w:right w:w="90" w:type="dxa"/>
            </w:tcMar>
          </w:tcPr>
          <w:p>
            <w:pPr>
              <w:spacing w:before="20" w:after="20" w:line="276" w:lineRule="auto"/>
            </w:pPr>
            <w:r>
              <w:rPr>
                <w:rFonts w:ascii="Arial" w:hAnsi="Arial"/>
                <w:b w:val="0"/>
                <w:color w:val="000000"/>
                <w:sz w:val="17"/>
              </w:rPr>
              <w:t>CYP2C9, VKORC1, CYP4F2</w:t>
            </w:r>
          </w:p>
        </w:tc>
        <w:tc>
          <w:tcPr>
            <w:tcW w:type="dxa" w:w="1872"/>
            <w:shd w:fill="F8F8FC"/>
            <w:tcMar>
              <w:top w:w="80" w:type="dxa"/>
              <w:bottom w:w="80" w:type="dxa"/>
              <w:left w:w="90" w:type="dxa"/>
              <w:right w:w="90" w:type="dxa"/>
            </w:tcMar>
          </w:tcPr>
          <w:p>
            <w:pPr>
              <w:spacing w:before="20" w:after="20" w:line="276" w:lineRule="auto"/>
            </w:pPr>
            <w:r>
              <w:rPr>
                <w:rFonts w:ascii="Arial" w:hAnsi="Arial"/>
                <w:b w:val="0"/>
                <w:color w:val="000000"/>
                <w:sz w:val="17"/>
              </w:rPr>
              <w:t>*2/*3 + VKORC1 (A/A)</w:t>
            </w:r>
          </w:p>
        </w:tc>
        <w:tc>
          <w:tcPr>
            <w:tcW w:type="dxa" w:w="3168"/>
            <w:shd w:fill="F8F8FC"/>
            <w:tcMar>
              <w:top w:w="80" w:type="dxa"/>
              <w:bottom w:w="80" w:type="dxa"/>
              <w:left w:w="90" w:type="dxa"/>
              <w:right w:w="90" w:type="dxa"/>
            </w:tcMar>
          </w:tcPr>
          <w:p>
            <w:pPr>
              <w:spacing w:before="20" w:after="20" w:line="276" w:lineRule="auto"/>
            </w:pPr>
            <w:r>
              <w:rPr>
                <w:rFonts w:ascii="Arial" w:hAnsi="Arial"/>
                <w:b w:val="0"/>
                <w:color w:val="000000"/>
                <w:sz w:val="17"/>
              </w:rPr>
              <w:t>Genotype-guided dose reduction (-50% to -80%); INR monitoring</w:t>
            </w:r>
          </w:p>
        </w:tc>
        <w:tc>
          <w:tcPr>
            <w:tcW w:type="dxa" w:w="1008"/>
            <w:shd w:fill="F8F8FC"/>
            <w:tcMar>
              <w:top w:w="80" w:type="dxa"/>
              <w:bottom w:w="80" w:type="dxa"/>
              <w:left w:w="90" w:type="dxa"/>
              <w:right w:w="90" w:type="dxa"/>
            </w:tcMar>
          </w:tcPr>
          <w:p>
            <w:pPr>
              <w:spacing w:before="20" w:after="20" w:line="276" w:lineRule="auto"/>
            </w:pPr>
            <w:r>
              <w:rPr>
                <w:rFonts w:ascii="Arial" w:hAnsi="Arial"/>
                <w:b w:val="0"/>
                <w:color w:val="000000"/>
                <w:sz w:val="17"/>
              </w:rPr>
              <w:t>Level A</w:t>
            </w:r>
          </w:p>
        </w:tc>
      </w:tr>
      <w:tr>
        <w:tc>
          <w:tcPr>
            <w:tcW w:type="dxa" w:w="1584"/>
            <w:shd w:fill="FFFFFF"/>
            <w:tcMar>
              <w:top w:w="80" w:type="dxa"/>
              <w:bottom w:w="80" w:type="dxa"/>
              <w:left w:w="90" w:type="dxa"/>
              <w:right w:w="90" w:type="dxa"/>
            </w:tcMar>
          </w:tcPr>
          <w:p>
            <w:pPr>
              <w:spacing w:before="20" w:after="20" w:line="276" w:lineRule="auto"/>
            </w:pPr>
            <w:r>
              <w:rPr>
                <w:rFonts w:ascii="Arial" w:hAnsi="Arial"/>
                <w:b w:val="0"/>
                <w:color w:val="000000"/>
                <w:sz w:val="17"/>
              </w:rPr>
              <w:t>Clopidogrel</w:t>
            </w:r>
          </w:p>
        </w:tc>
        <w:tc>
          <w:tcPr>
            <w:tcW w:type="dxa" w:w="1728"/>
            <w:shd w:fill="FFFFFF"/>
            <w:tcMar>
              <w:top w:w="80" w:type="dxa"/>
              <w:bottom w:w="80" w:type="dxa"/>
              <w:left w:w="90" w:type="dxa"/>
              <w:right w:w="90" w:type="dxa"/>
            </w:tcMar>
          </w:tcPr>
          <w:p>
            <w:pPr>
              <w:spacing w:before="20" w:after="20" w:line="276" w:lineRule="auto"/>
            </w:pPr>
            <w:r>
              <w:rPr>
                <w:rFonts w:ascii="Arial" w:hAnsi="Arial"/>
                <w:b w:val="0"/>
                <w:color w:val="000000"/>
                <w:sz w:val="17"/>
              </w:rPr>
              <w:t>CYP2C19</w:t>
            </w:r>
          </w:p>
        </w:tc>
        <w:tc>
          <w:tcPr>
            <w:tcW w:type="dxa" w:w="1872"/>
            <w:shd w:fill="FFFFFF"/>
            <w:tcMar>
              <w:top w:w="80" w:type="dxa"/>
              <w:bottom w:w="80" w:type="dxa"/>
              <w:left w:w="90" w:type="dxa"/>
              <w:right w:w="90" w:type="dxa"/>
            </w:tcMar>
          </w:tcPr>
          <w:p>
            <w:pPr>
              <w:spacing w:before="20" w:after="20" w:line="276" w:lineRule="auto"/>
            </w:pPr>
            <w:r>
              <w:rPr>
                <w:rFonts w:ascii="Arial" w:hAnsi="Arial"/>
                <w:b w:val="0"/>
                <w:color w:val="000000"/>
                <w:sz w:val="17"/>
              </w:rPr>
              <w:t>Poor / Intermediate (*2, *3)</w:t>
            </w:r>
          </w:p>
        </w:tc>
        <w:tc>
          <w:tcPr>
            <w:tcW w:type="dxa" w:w="3168"/>
            <w:shd w:fill="FFFFFF"/>
            <w:tcMar>
              <w:top w:w="80" w:type="dxa"/>
              <w:bottom w:w="80" w:type="dxa"/>
              <w:left w:w="90" w:type="dxa"/>
              <w:right w:w="90" w:type="dxa"/>
            </w:tcMar>
          </w:tcPr>
          <w:p>
            <w:pPr>
              <w:spacing w:before="20" w:after="20" w:line="276" w:lineRule="auto"/>
            </w:pPr>
            <w:r>
              <w:rPr>
                <w:rFonts w:ascii="Arial" w:hAnsi="Arial"/>
                <w:b w:val="0"/>
                <w:color w:val="000000"/>
                <w:sz w:val="17"/>
              </w:rPr>
              <w:t>Avoid clopidogrel; switch to prasugrel or ticagrelor in ACS/PCI</w:t>
            </w:r>
          </w:p>
        </w:tc>
        <w:tc>
          <w:tcPr>
            <w:tcW w:type="dxa" w:w="1008"/>
            <w:shd w:fill="FFFFFF"/>
            <w:tcMar>
              <w:top w:w="80" w:type="dxa"/>
              <w:bottom w:w="80" w:type="dxa"/>
              <w:left w:w="90" w:type="dxa"/>
              <w:right w:w="90" w:type="dxa"/>
            </w:tcMar>
          </w:tcPr>
          <w:p>
            <w:pPr>
              <w:spacing w:before="20" w:after="20" w:line="276" w:lineRule="auto"/>
            </w:pPr>
            <w:r>
              <w:rPr>
                <w:rFonts w:ascii="Arial" w:hAnsi="Arial"/>
                <w:b w:val="0"/>
                <w:color w:val="000000"/>
                <w:sz w:val="17"/>
              </w:rPr>
              <w:t>Level A</w:t>
            </w:r>
          </w:p>
        </w:tc>
      </w:tr>
      <w:tr>
        <w:tc>
          <w:tcPr>
            <w:tcW w:type="dxa" w:w="1584"/>
            <w:shd w:fill="F8F8FC"/>
            <w:tcMar>
              <w:top w:w="80" w:type="dxa"/>
              <w:bottom w:w="80" w:type="dxa"/>
              <w:left w:w="90" w:type="dxa"/>
              <w:right w:w="90" w:type="dxa"/>
            </w:tcMar>
          </w:tcPr>
          <w:p>
            <w:pPr>
              <w:spacing w:before="20" w:after="20" w:line="276" w:lineRule="auto"/>
            </w:pPr>
            <w:r>
              <w:rPr>
                <w:rFonts w:ascii="Arial" w:hAnsi="Arial"/>
                <w:b w:val="0"/>
                <w:color w:val="000000"/>
                <w:sz w:val="17"/>
              </w:rPr>
              <w:t>Codeine / Tramadol</w:t>
            </w:r>
          </w:p>
        </w:tc>
        <w:tc>
          <w:tcPr>
            <w:tcW w:type="dxa" w:w="1728"/>
            <w:shd w:fill="F8F8FC"/>
            <w:tcMar>
              <w:top w:w="80" w:type="dxa"/>
              <w:bottom w:w="80" w:type="dxa"/>
              <w:left w:w="90" w:type="dxa"/>
              <w:right w:w="90" w:type="dxa"/>
            </w:tcMar>
          </w:tcPr>
          <w:p>
            <w:pPr>
              <w:spacing w:before="20" w:after="20" w:line="276" w:lineRule="auto"/>
            </w:pPr>
            <w:r>
              <w:rPr>
                <w:rFonts w:ascii="Arial" w:hAnsi="Arial"/>
                <w:b w:val="0"/>
                <w:color w:val="000000"/>
                <w:sz w:val="17"/>
              </w:rPr>
              <w:t>CYP2D6</w:t>
            </w:r>
          </w:p>
        </w:tc>
        <w:tc>
          <w:tcPr>
            <w:tcW w:type="dxa" w:w="1872"/>
            <w:shd w:fill="F8F8FC"/>
            <w:tcMar>
              <w:top w:w="80" w:type="dxa"/>
              <w:bottom w:w="80" w:type="dxa"/>
              <w:left w:w="90" w:type="dxa"/>
              <w:right w:w="90" w:type="dxa"/>
            </w:tcMar>
          </w:tcPr>
          <w:p>
            <w:pPr>
              <w:spacing w:before="20" w:after="20" w:line="276" w:lineRule="auto"/>
            </w:pPr>
            <w:r>
              <w:rPr>
                <w:rFonts w:ascii="Arial" w:hAnsi="Arial"/>
                <w:b w:val="0"/>
                <w:color w:val="000000"/>
                <w:sz w:val="17"/>
              </w:rPr>
              <w:t>Ultra-Rapid (*1xN) / Poor (*4/*4)</w:t>
            </w:r>
          </w:p>
        </w:tc>
        <w:tc>
          <w:tcPr>
            <w:tcW w:type="dxa" w:w="3168"/>
            <w:shd w:fill="F8F8FC"/>
            <w:tcMar>
              <w:top w:w="80" w:type="dxa"/>
              <w:bottom w:w="80" w:type="dxa"/>
              <w:left w:w="90" w:type="dxa"/>
              <w:right w:w="90" w:type="dxa"/>
            </w:tcMar>
          </w:tcPr>
          <w:p>
            <w:pPr>
              <w:spacing w:before="20" w:after="20" w:line="276" w:lineRule="auto"/>
            </w:pPr>
            <w:r>
              <w:rPr>
                <w:rFonts w:ascii="Arial" w:hAnsi="Arial"/>
                <w:b w:val="0"/>
                <w:color w:val="000000"/>
                <w:sz w:val="17"/>
              </w:rPr>
              <w:t>Avoid codeine: fatal toxicity in UMs; total analgesia failure in PMs</w:t>
            </w:r>
          </w:p>
        </w:tc>
        <w:tc>
          <w:tcPr>
            <w:tcW w:type="dxa" w:w="1008"/>
            <w:shd w:fill="F8F8FC"/>
            <w:tcMar>
              <w:top w:w="80" w:type="dxa"/>
              <w:bottom w:w="80" w:type="dxa"/>
              <w:left w:w="90" w:type="dxa"/>
              <w:right w:w="90" w:type="dxa"/>
            </w:tcMar>
          </w:tcPr>
          <w:p>
            <w:pPr>
              <w:spacing w:before="20" w:after="20" w:line="276" w:lineRule="auto"/>
            </w:pPr>
            <w:r>
              <w:rPr>
                <w:rFonts w:ascii="Arial" w:hAnsi="Arial"/>
                <w:b w:val="0"/>
                <w:color w:val="000000"/>
                <w:sz w:val="17"/>
              </w:rPr>
              <w:t>Level A</w:t>
            </w:r>
          </w:p>
        </w:tc>
      </w:tr>
      <w:tr>
        <w:tc>
          <w:tcPr>
            <w:tcW w:type="dxa" w:w="1584"/>
            <w:shd w:fill="FFFFFF"/>
            <w:tcMar>
              <w:top w:w="80" w:type="dxa"/>
              <w:bottom w:w="80" w:type="dxa"/>
              <w:left w:w="90" w:type="dxa"/>
              <w:right w:w="90" w:type="dxa"/>
            </w:tcMar>
          </w:tcPr>
          <w:p>
            <w:pPr>
              <w:spacing w:before="20" w:after="20" w:line="276" w:lineRule="auto"/>
            </w:pPr>
            <w:r>
              <w:rPr>
                <w:rFonts w:ascii="Arial" w:hAnsi="Arial"/>
                <w:b w:val="0"/>
                <w:color w:val="000000"/>
                <w:sz w:val="17"/>
              </w:rPr>
              <w:t>Simvastatin</w:t>
            </w:r>
          </w:p>
        </w:tc>
        <w:tc>
          <w:tcPr>
            <w:tcW w:type="dxa" w:w="1728"/>
            <w:shd w:fill="FFFFFF"/>
            <w:tcMar>
              <w:top w:w="80" w:type="dxa"/>
              <w:bottom w:w="80" w:type="dxa"/>
              <w:left w:w="90" w:type="dxa"/>
              <w:right w:w="90" w:type="dxa"/>
            </w:tcMar>
          </w:tcPr>
          <w:p>
            <w:pPr>
              <w:spacing w:before="20" w:after="20" w:line="276" w:lineRule="auto"/>
            </w:pPr>
            <w:r>
              <w:rPr>
                <w:rFonts w:ascii="Arial" w:hAnsi="Arial"/>
                <w:b w:val="0"/>
                <w:color w:val="000000"/>
                <w:sz w:val="17"/>
              </w:rPr>
              <w:t>SLCO1B1, ABCG2</w:t>
            </w:r>
          </w:p>
        </w:tc>
        <w:tc>
          <w:tcPr>
            <w:tcW w:type="dxa" w:w="1872"/>
            <w:shd w:fill="FFFFFF"/>
            <w:tcMar>
              <w:top w:w="80" w:type="dxa"/>
              <w:bottom w:w="80" w:type="dxa"/>
              <w:left w:w="90" w:type="dxa"/>
              <w:right w:w="90" w:type="dxa"/>
            </w:tcMar>
          </w:tcPr>
          <w:p>
            <w:pPr>
              <w:spacing w:before="20" w:after="20" w:line="276" w:lineRule="auto"/>
            </w:pPr>
            <w:r>
              <w:rPr>
                <w:rFonts w:ascii="Arial" w:hAnsi="Arial"/>
                <w:b w:val="0"/>
                <w:color w:val="000000"/>
                <w:sz w:val="17"/>
              </w:rPr>
              <w:t>Decreased Function (*5/*5)</w:t>
            </w:r>
          </w:p>
        </w:tc>
        <w:tc>
          <w:tcPr>
            <w:tcW w:type="dxa" w:w="3168"/>
            <w:shd w:fill="FFFFFF"/>
            <w:tcMar>
              <w:top w:w="80" w:type="dxa"/>
              <w:bottom w:w="80" w:type="dxa"/>
              <w:left w:w="90" w:type="dxa"/>
              <w:right w:w="90" w:type="dxa"/>
            </w:tcMar>
          </w:tcPr>
          <w:p>
            <w:pPr>
              <w:spacing w:before="20" w:after="20" w:line="276" w:lineRule="auto"/>
            </w:pPr>
            <w:r>
              <w:rPr>
                <w:rFonts w:ascii="Arial" w:hAnsi="Arial"/>
                <w:b w:val="0"/>
                <w:color w:val="000000"/>
                <w:sz w:val="17"/>
              </w:rPr>
              <w:t>Severe myopathy/rhabdomyolysis risk; cap at 20mg or switch to rosuvastatin</w:t>
            </w:r>
          </w:p>
        </w:tc>
        <w:tc>
          <w:tcPr>
            <w:tcW w:type="dxa" w:w="1008"/>
            <w:shd w:fill="FFFFFF"/>
            <w:tcMar>
              <w:top w:w="80" w:type="dxa"/>
              <w:bottom w:w="80" w:type="dxa"/>
              <w:left w:w="90" w:type="dxa"/>
              <w:right w:w="90" w:type="dxa"/>
            </w:tcMar>
          </w:tcPr>
          <w:p>
            <w:pPr>
              <w:spacing w:before="20" w:after="20" w:line="276" w:lineRule="auto"/>
            </w:pPr>
            <w:r>
              <w:rPr>
                <w:rFonts w:ascii="Arial" w:hAnsi="Arial"/>
                <w:b w:val="0"/>
                <w:color w:val="000000"/>
                <w:sz w:val="17"/>
              </w:rPr>
              <w:t>Level A</w:t>
            </w:r>
          </w:p>
        </w:tc>
      </w:tr>
      <w:tr>
        <w:tc>
          <w:tcPr>
            <w:tcW w:type="dxa" w:w="1584"/>
            <w:shd w:fill="F8F8FC"/>
            <w:tcMar>
              <w:top w:w="80" w:type="dxa"/>
              <w:bottom w:w="80" w:type="dxa"/>
              <w:left w:w="90" w:type="dxa"/>
              <w:right w:w="90" w:type="dxa"/>
            </w:tcMar>
          </w:tcPr>
          <w:p>
            <w:pPr>
              <w:spacing w:before="20" w:after="20" w:line="276" w:lineRule="auto"/>
            </w:pPr>
            <w:r>
              <w:rPr>
                <w:rFonts w:ascii="Arial" w:hAnsi="Arial"/>
                <w:b w:val="0"/>
                <w:color w:val="000000"/>
                <w:sz w:val="17"/>
              </w:rPr>
              <w:t>Fluoropyrimidines (5-FU)</w:t>
            </w:r>
          </w:p>
        </w:tc>
        <w:tc>
          <w:tcPr>
            <w:tcW w:type="dxa" w:w="1728"/>
            <w:shd w:fill="F8F8FC"/>
            <w:tcMar>
              <w:top w:w="80" w:type="dxa"/>
              <w:bottom w:w="80" w:type="dxa"/>
              <w:left w:w="90" w:type="dxa"/>
              <w:right w:w="90" w:type="dxa"/>
            </w:tcMar>
          </w:tcPr>
          <w:p>
            <w:pPr>
              <w:spacing w:before="20" w:after="20" w:line="276" w:lineRule="auto"/>
            </w:pPr>
            <w:r>
              <w:rPr>
                <w:rFonts w:ascii="Arial" w:hAnsi="Arial"/>
                <w:b w:val="0"/>
                <w:color w:val="000000"/>
                <w:sz w:val="17"/>
              </w:rPr>
              <w:t>DPYD</w:t>
            </w:r>
          </w:p>
        </w:tc>
        <w:tc>
          <w:tcPr>
            <w:tcW w:type="dxa" w:w="1872"/>
            <w:shd w:fill="F8F8FC"/>
            <w:tcMar>
              <w:top w:w="80" w:type="dxa"/>
              <w:bottom w:w="80" w:type="dxa"/>
              <w:left w:w="90" w:type="dxa"/>
              <w:right w:w="90" w:type="dxa"/>
            </w:tcMar>
          </w:tcPr>
          <w:p>
            <w:pPr>
              <w:spacing w:before="20" w:after="20" w:line="276" w:lineRule="auto"/>
            </w:pPr>
            <w:r>
              <w:rPr>
                <w:rFonts w:ascii="Arial" w:hAnsi="Arial"/>
                <w:b w:val="0"/>
                <w:color w:val="000000"/>
                <w:sz w:val="17"/>
              </w:rPr>
              <w:t>DPYD Deficiency (*2A, c.2846A&gt;T)</w:t>
            </w:r>
          </w:p>
        </w:tc>
        <w:tc>
          <w:tcPr>
            <w:tcW w:type="dxa" w:w="3168"/>
            <w:shd w:fill="F8F8FC"/>
            <w:tcMar>
              <w:top w:w="80" w:type="dxa"/>
              <w:bottom w:w="80" w:type="dxa"/>
              <w:left w:w="90" w:type="dxa"/>
              <w:right w:w="90" w:type="dxa"/>
            </w:tcMar>
          </w:tcPr>
          <w:p>
            <w:pPr>
              <w:spacing w:before="20" w:after="20" w:line="276" w:lineRule="auto"/>
            </w:pPr>
            <w:r>
              <w:rPr>
                <w:rFonts w:ascii="Arial" w:hAnsi="Arial"/>
                <w:b w:val="0"/>
                <w:color w:val="000000"/>
                <w:sz w:val="17"/>
              </w:rPr>
              <w:t>Extreme hematologic/GI toxicity risk; reduce dose 50% or avoid</w:t>
            </w:r>
          </w:p>
        </w:tc>
        <w:tc>
          <w:tcPr>
            <w:tcW w:type="dxa" w:w="1008"/>
            <w:shd w:fill="F8F8FC"/>
            <w:tcMar>
              <w:top w:w="80" w:type="dxa"/>
              <w:bottom w:w="80" w:type="dxa"/>
              <w:left w:w="90" w:type="dxa"/>
              <w:right w:w="90" w:type="dxa"/>
            </w:tcMar>
          </w:tcPr>
          <w:p>
            <w:pPr>
              <w:spacing w:before="20" w:after="20" w:line="276" w:lineRule="auto"/>
            </w:pPr>
            <w:r>
              <w:rPr>
                <w:rFonts w:ascii="Arial" w:hAnsi="Arial"/>
                <w:b w:val="0"/>
                <w:color w:val="000000"/>
                <w:sz w:val="17"/>
              </w:rPr>
              <w:t>Level A</w:t>
            </w:r>
          </w:p>
        </w:tc>
      </w:tr>
      <w:tr>
        <w:tc>
          <w:tcPr>
            <w:tcW w:type="dxa" w:w="1584"/>
            <w:shd w:fill="FFFFFF"/>
            <w:tcMar>
              <w:top w:w="80" w:type="dxa"/>
              <w:bottom w:w="80" w:type="dxa"/>
              <w:left w:w="90" w:type="dxa"/>
              <w:right w:w="90" w:type="dxa"/>
            </w:tcMar>
          </w:tcPr>
          <w:p>
            <w:pPr>
              <w:spacing w:before="20" w:after="20" w:line="276" w:lineRule="auto"/>
            </w:pPr>
            <w:r>
              <w:rPr>
                <w:rFonts w:ascii="Arial" w:hAnsi="Arial"/>
                <w:b w:val="0"/>
                <w:color w:val="000000"/>
                <w:sz w:val="17"/>
              </w:rPr>
              <w:t>Azathioprine / 6-MP</w:t>
            </w:r>
          </w:p>
        </w:tc>
        <w:tc>
          <w:tcPr>
            <w:tcW w:type="dxa" w:w="1728"/>
            <w:shd w:fill="FFFFFF"/>
            <w:tcMar>
              <w:top w:w="80" w:type="dxa"/>
              <w:bottom w:w="80" w:type="dxa"/>
              <w:left w:w="90" w:type="dxa"/>
              <w:right w:w="90" w:type="dxa"/>
            </w:tcMar>
          </w:tcPr>
          <w:p>
            <w:pPr>
              <w:spacing w:before="20" w:after="20" w:line="276" w:lineRule="auto"/>
            </w:pPr>
            <w:r>
              <w:rPr>
                <w:rFonts w:ascii="Arial" w:hAnsi="Arial"/>
                <w:b w:val="0"/>
                <w:color w:val="000000"/>
                <w:sz w:val="17"/>
              </w:rPr>
              <w:t>TPMT, NUDT15</w:t>
            </w:r>
          </w:p>
        </w:tc>
        <w:tc>
          <w:tcPr>
            <w:tcW w:type="dxa" w:w="1872"/>
            <w:shd w:fill="FFFFFF"/>
            <w:tcMar>
              <w:top w:w="80" w:type="dxa"/>
              <w:bottom w:w="80" w:type="dxa"/>
              <w:left w:w="90" w:type="dxa"/>
              <w:right w:w="90" w:type="dxa"/>
            </w:tcMar>
          </w:tcPr>
          <w:p>
            <w:pPr>
              <w:spacing w:before="20" w:after="20" w:line="276" w:lineRule="auto"/>
            </w:pPr>
            <w:r>
              <w:rPr>
                <w:rFonts w:ascii="Arial" w:hAnsi="Arial"/>
                <w:b w:val="0"/>
                <w:color w:val="000000"/>
                <w:sz w:val="17"/>
              </w:rPr>
              <w:t>Poor Metabolizers (*3A, *3C)</w:t>
            </w:r>
          </w:p>
        </w:tc>
        <w:tc>
          <w:tcPr>
            <w:tcW w:type="dxa" w:w="3168"/>
            <w:shd w:fill="FFFFFF"/>
            <w:tcMar>
              <w:top w:w="80" w:type="dxa"/>
              <w:bottom w:w="80" w:type="dxa"/>
              <w:left w:w="90" w:type="dxa"/>
              <w:right w:w="90" w:type="dxa"/>
            </w:tcMar>
          </w:tcPr>
          <w:p>
            <w:pPr>
              <w:spacing w:before="20" w:after="20" w:line="276" w:lineRule="auto"/>
            </w:pPr>
            <w:r>
              <w:rPr>
                <w:rFonts w:ascii="Arial" w:hAnsi="Arial"/>
                <w:b w:val="0"/>
                <w:color w:val="000000"/>
                <w:sz w:val="17"/>
              </w:rPr>
              <w:t>Life-threatening myelosuppression; reduce dose by 90% or switch</w:t>
            </w:r>
          </w:p>
        </w:tc>
        <w:tc>
          <w:tcPr>
            <w:tcW w:type="dxa" w:w="1008"/>
            <w:shd w:fill="FFFFFF"/>
            <w:tcMar>
              <w:top w:w="80" w:type="dxa"/>
              <w:bottom w:w="80" w:type="dxa"/>
              <w:left w:w="90" w:type="dxa"/>
              <w:right w:w="90" w:type="dxa"/>
            </w:tcMar>
          </w:tcPr>
          <w:p>
            <w:pPr>
              <w:spacing w:before="20" w:after="20" w:line="276" w:lineRule="auto"/>
            </w:pPr>
            <w:r>
              <w:rPr>
                <w:rFonts w:ascii="Arial" w:hAnsi="Arial"/>
                <w:b w:val="0"/>
                <w:color w:val="000000"/>
                <w:sz w:val="17"/>
              </w:rPr>
              <w:t>Level A</w:t>
            </w:r>
          </w:p>
        </w:tc>
      </w:tr>
      <w:tr>
        <w:tc>
          <w:tcPr>
            <w:tcW w:type="dxa" w:w="1584"/>
            <w:shd w:fill="F8F8FC"/>
            <w:tcMar>
              <w:top w:w="80" w:type="dxa"/>
              <w:bottom w:w="80" w:type="dxa"/>
              <w:left w:w="90" w:type="dxa"/>
              <w:right w:w="90" w:type="dxa"/>
            </w:tcMar>
          </w:tcPr>
          <w:p>
            <w:pPr>
              <w:spacing w:before="20" w:after="20" w:line="276" w:lineRule="auto"/>
            </w:pPr>
            <w:r>
              <w:rPr>
                <w:rFonts w:ascii="Arial" w:hAnsi="Arial"/>
                <w:b w:val="0"/>
                <w:color w:val="000000"/>
                <w:sz w:val="17"/>
              </w:rPr>
              <w:t>Tacrolimus</w:t>
            </w:r>
          </w:p>
        </w:tc>
        <w:tc>
          <w:tcPr>
            <w:tcW w:type="dxa" w:w="1728"/>
            <w:shd w:fill="F8F8FC"/>
            <w:tcMar>
              <w:top w:w="80" w:type="dxa"/>
              <w:bottom w:w="80" w:type="dxa"/>
              <w:left w:w="90" w:type="dxa"/>
              <w:right w:w="90" w:type="dxa"/>
            </w:tcMar>
          </w:tcPr>
          <w:p>
            <w:pPr>
              <w:spacing w:before="20" w:after="20" w:line="276" w:lineRule="auto"/>
            </w:pPr>
            <w:r>
              <w:rPr>
                <w:rFonts w:ascii="Arial" w:hAnsi="Arial"/>
                <w:b w:val="0"/>
                <w:color w:val="000000"/>
                <w:sz w:val="17"/>
              </w:rPr>
              <w:t>CYP3A5</w:t>
            </w:r>
          </w:p>
        </w:tc>
        <w:tc>
          <w:tcPr>
            <w:tcW w:type="dxa" w:w="1872"/>
            <w:shd w:fill="F8F8FC"/>
            <w:tcMar>
              <w:top w:w="80" w:type="dxa"/>
              <w:bottom w:w="80" w:type="dxa"/>
              <w:left w:w="90" w:type="dxa"/>
              <w:right w:w="90" w:type="dxa"/>
            </w:tcMar>
          </w:tcPr>
          <w:p>
            <w:pPr>
              <w:spacing w:before="20" w:after="20" w:line="276" w:lineRule="auto"/>
            </w:pPr>
            <w:r>
              <w:rPr>
                <w:rFonts w:ascii="Arial" w:hAnsi="Arial"/>
                <w:b w:val="0"/>
                <w:color w:val="000000"/>
                <w:sz w:val="17"/>
              </w:rPr>
              <w:t>Extensive / Normal (*1/*1)</w:t>
            </w:r>
          </w:p>
        </w:tc>
        <w:tc>
          <w:tcPr>
            <w:tcW w:type="dxa" w:w="3168"/>
            <w:shd w:fill="F8F8FC"/>
            <w:tcMar>
              <w:top w:w="80" w:type="dxa"/>
              <w:bottom w:w="80" w:type="dxa"/>
              <w:left w:w="90" w:type="dxa"/>
              <w:right w:w="90" w:type="dxa"/>
            </w:tcMar>
          </w:tcPr>
          <w:p>
            <w:pPr>
              <w:spacing w:before="20" w:after="20" w:line="276" w:lineRule="auto"/>
            </w:pPr>
            <w:r>
              <w:rPr>
                <w:rFonts w:ascii="Arial" w:hAnsi="Arial"/>
                <w:b w:val="0"/>
                <w:color w:val="000000"/>
                <w:sz w:val="17"/>
              </w:rPr>
              <w:t>Ultra-rapid clearance; increase starting dose 1.5-2.0x to avoid graft rejection</w:t>
            </w:r>
          </w:p>
        </w:tc>
        <w:tc>
          <w:tcPr>
            <w:tcW w:type="dxa" w:w="1008"/>
            <w:shd w:fill="F8F8FC"/>
            <w:tcMar>
              <w:top w:w="80" w:type="dxa"/>
              <w:bottom w:w="80" w:type="dxa"/>
              <w:left w:w="90" w:type="dxa"/>
              <w:right w:w="90" w:type="dxa"/>
            </w:tcMar>
          </w:tcPr>
          <w:p>
            <w:pPr>
              <w:spacing w:before="20" w:after="20" w:line="276" w:lineRule="auto"/>
            </w:pPr>
            <w:r>
              <w:rPr>
                <w:rFonts w:ascii="Arial" w:hAnsi="Arial"/>
                <w:b w:val="0"/>
                <w:color w:val="000000"/>
                <w:sz w:val="17"/>
              </w:rPr>
              <w:t>Level A</w:t>
            </w:r>
          </w:p>
        </w:tc>
      </w:tr>
      <w:tr>
        <w:tc>
          <w:tcPr>
            <w:tcW w:type="dxa" w:w="1584"/>
            <w:shd w:fill="FFFFFF"/>
            <w:tcMar>
              <w:top w:w="80" w:type="dxa"/>
              <w:bottom w:w="80" w:type="dxa"/>
              <w:left w:w="90" w:type="dxa"/>
              <w:right w:w="90" w:type="dxa"/>
            </w:tcMar>
          </w:tcPr>
          <w:p>
            <w:pPr>
              <w:spacing w:before="20" w:after="20" w:line="276" w:lineRule="auto"/>
            </w:pPr>
            <w:r>
              <w:rPr>
                <w:rFonts w:ascii="Arial" w:hAnsi="Arial"/>
                <w:b w:val="0"/>
                <w:color w:val="000000"/>
                <w:sz w:val="17"/>
              </w:rPr>
              <w:t>SSRIs (Paroxetine)</w:t>
            </w:r>
          </w:p>
        </w:tc>
        <w:tc>
          <w:tcPr>
            <w:tcW w:type="dxa" w:w="1728"/>
            <w:shd w:fill="FFFFFF"/>
            <w:tcMar>
              <w:top w:w="80" w:type="dxa"/>
              <w:bottom w:w="80" w:type="dxa"/>
              <w:left w:w="90" w:type="dxa"/>
              <w:right w:w="90" w:type="dxa"/>
            </w:tcMar>
          </w:tcPr>
          <w:p>
            <w:pPr>
              <w:spacing w:before="20" w:after="20" w:line="276" w:lineRule="auto"/>
            </w:pPr>
            <w:r>
              <w:rPr>
                <w:rFonts w:ascii="Arial" w:hAnsi="Arial"/>
                <w:b w:val="0"/>
                <w:color w:val="000000"/>
                <w:sz w:val="17"/>
              </w:rPr>
              <w:t>CYP2D6</w:t>
            </w:r>
          </w:p>
        </w:tc>
        <w:tc>
          <w:tcPr>
            <w:tcW w:type="dxa" w:w="1872"/>
            <w:shd w:fill="FFFFFF"/>
            <w:tcMar>
              <w:top w:w="80" w:type="dxa"/>
              <w:bottom w:w="80" w:type="dxa"/>
              <w:left w:w="90" w:type="dxa"/>
              <w:right w:w="90" w:type="dxa"/>
            </w:tcMar>
          </w:tcPr>
          <w:p>
            <w:pPr>
              <w:spacing w:before="20" w:after="20" w:line="276" w:lineRule="auto"/>
            </w:pPr>
            <w:r>
              <w:rPr>
                <w:rFonts w:ascii="Arial" w:hAnsi="Arial"/>
                <w:b w:val="0"/>
                <w:color w:val="000000"/>
                <w:sz w:val="17"/>
              </w:rPr>
              <w:t>Poor Metabolizers (*4/*5)</w:t>
            </w:r>
          </w:p>
        </w:tc>
        <w:tc>
          <w:tcPr>
            <w:tcW w:type="dxa" w:w="3168"/>
            <w:shd w:fill="FFFFFF"/>
            <w:tcMar>
              <w:top w:w="80" w:type="dxa"/>
              <w:bottom w:w="80" w:type="dxa"/>
              <w:left w:w="90" w:type="dxa"/>
              <w:right w:w="90" w:type="dxa"/>
            </w:tcMar>
          </w:tcPr>
          <w:p>
            <w:pPr>
              <w:spacing w:before="20" w:after="20" w:line="276" w:lineRule="auto"/>
            </w:pPr>
            <w:r>
              <w:rPr>
                <w:rFonts w:ascii="Arial" w:hAnsi="Arial"/>
                <w:b w:val="0"/>
                <w:color w:val="000000"/>
                <w:sz w:val="17"/>
              </w:rPr>
              <w:t>Reduced clearance, excessive sedation/QTc; select alternative or -50% dose</w:t>
            </w:r>
          </w:p>
        </w:tc>
        <w:tc>
          <w:tcPr>
            <w:tcW w:type="dxa" w:w="1008"/>
            <w:shd w:fill="FFFFFF"/>
            <w:tcMar>
              <w:top w:w="80" w:type="dxa"/>
              <w:bottom w:w="80" w:type="dxa"/>
              <w:left w:w="90" w:type="dxa"/>
              <w:right w:w="90" w:type="dxa"/>
            </w:tcMar>
          </w:tcPr>
          <w:p>
            <w:pPr>
              <w:spacing w:before="20" w:after="20" w:line="276" w:lineRule="auto"/>
            </w:pPr>
            <w:r>
              <w:rPr>
                <w:rFonts w:ascii="Arial" w:hAnsi="Arial"/>
                <w:b w:val="0"/>
                <w:color w:val="000000"/>
                <w:sz w:val="17"/>
              </w:rPr>
              <w:t>Level B</w:t>
            </w:r>
          </w:p>
        </w:tc>
      </w:tr>
      <w:tr>
        <w:tc>
          <w:tcPr>
            <w:tcW w:type="dxa" w:w="1584"/>
            <w:shd w:fill="F8F8FC"/>
            <w:tcMar>
              <w:top w:w="80" w:type="dxa"/>
              <w:bottom w:w="80" w:type="dxa"/>
              <w:left w:w="90" w:type="dxa"/>
              <w:right w:w="90" w:type="dxa"/>
            </w:tcMar>
          </w:tcPr>
          <w:p>
            <w:pPr>
              <w:spacing w:before="20" w:after="20" w:line="276" w:lineRule="auto"/>
            </w:pPr>
            <w:r>
              <w:rPr>
                <w:rFonts w:ascii="Arial" w:hAnsi="Arial"/>
                <w:b w:val="0"/>
                <w:color w:val="000000"/>
                <w:sz w:val="17"/>
              </w:rPr>
              <w:t>PPIs (Omeprazole)</w:t>
            </w:r>
          </w:p>
        </w:tc>
        <w:tc>
          <w:tcPr>
            <w:tcW w:type="dxa" w:w="1728"/>
            <w:shd w:fill="F8F8FC"/>
            <w:tcMar>
              <w:top w:w="80" w:type="dxa"/>
              <w:bottom w:w="80" w:type="dxa"/>
              <w:left w:w="90" w:type="dxa"/>
              <w:right w:w="90" w:type="dxa"/>
            </w:tcMar>
          </w:tcPr>
          <w:p>
            <w:pPr>
              <w:spacing w:before="20" w:after="20" w:line="276" w:lineRule="auto"/>
            </w:pPr>
            <w:r>
              <w:rPr>
                <w:rFonts w:ascii="Arial" w:hAnsi="Arial"/>
                <w:b w:val="0"/>
                <w:color w:val="000000"/>
                <w:sz w:val="17"/>
              </w:rPr>
              <w:t>CYP2C19</w:t>
            </w:r>
          </w:p>
        </w:tc>
        <w:tc>
          <w:tcPr>
            <w:tcW w:type="dxa" w:w="1872"/>
            <w:shd w:fill="F8F8FC"/>
            <w:tcMar>
              <w:top w:w="80" w:type="dxa"/>
              <w:bottom w:w="80" w:type="dxa"/>
              <w:left w:w="90" w:type="dxa"/>
              <w:right w:w="90" w:type="dxa"/>
            </w:tcMar>
          </w:tcPr>
          <w:p>
            <w:pPr>
              <w:spacing w:before="20" w:after="20" w:line="276" w:lineRule="auto"/>
            </w:pPr>
            <w:r>
              <w:rPr>
                <w:rFonts w:ascii="Arial" w:hAnsi="Arial"/>
                <w:b w:val="0"/>
                <w:color w:val="000000"/>
                <w:sz w:val="17"/>
              </w:rPr>
              <w:t>Ultra-Rapid (*17/*17)</w:t>
            </w:r>
          </w:p>
        </w:tc>
        <w:tc>
          <w:tcPr>
            <w:tcW w:type="dxa" w:w="3168"/>
            <w:shd w:fill="F8F8FC"/>
            <w:tcMar>
              <w:top w:w="80" w:type="dxa"/>
              <w:bottom w:w="80" w:type="dxa"/>
              <w:left w:w="90" w:type="dxa"/>
              <w:right w:w="90" w:type="dxa"/>
            </w:tcMar>
          </w:tcPr>
          <w:p>
            <w:pPr>
              <w:spacing w:before="20" w:after="20" w:line="276" w:lineRule="auto"/>
            </w:pPr>
            <w:r>
              <w:rPr>
                <w:rFonts w:ascii="Arial" w:hAnsi="Arial"/>
                <w:b w:val="0"/>
                <w:color w:val="000000"/>
                <w:sz w:val="17"/>
              </w:rPr>
              <w:t>Sub-therapeutic acid suppression; double standard daily dose for GERD/PUD</w:t>
            </w:r>
          </w:p>
        </w:tc>
        <w:tc>
          <w:tcPr>
            <w:tcW w:type="dxa" w:w="1008"/>
            <w:shd w:fill="F8F8FC"/>
            <w:tcMar>
              <w:top w:w="80" w:type="dxa"/>
              <w:bottom w:w="80" w:type="dxa"/>
              <w:left w:w="90" w:type="dxa"/>
              <w:right w:w="90" w:type="dxa"/>
            </w:tcMar>
          </w:tcPr>
          <w:p>
            <w:pPr>
              <w:spacing w:before="20" w:after="20" w:line="276" w:lineRule="auto"/>
            </w:pPr>
            <w:r>
              <w:rPr>
                <w:rFonts w:ascii="Arial" w:hAnsi="Arial"/>
                <w:b w:val="0"/>
                <w:color w:val="000000"/>
                <w:sz w:val="17"/>
              </w:rPr>
              <w:t>Level A</w:t>
            </w:r>
          </w:p>
        </w:tc>
      </w:tr>
    </w:tbl>
    <w:p>
      <w:pPr>
        <w:spacing w:before="80" w:after="240" w:line="276" w:lineRule="auto"/>
        <w:jc w:val="center"/>
      </w:pPr>
      <w:r>
        <w:rPr>
          <w:rFonts w:ascii="Arial" w:hAnsi="Arial"/>
          <w:i/>
          <w:color w:val="646473"/>
          <w:sz w:val="17"/>
        </w:rPr>
        <w:t>Table 1: Curated Clinical Pharmacogenetics Implementation Consortium (CPIC) Guidelines Embedded in Module 3.</w:t>
      </w:r>
    </w:p>
    <w:p>
      <w:pPr>
        <w:pStyle w:val="Heading1"/>
        <w:keepNext/>
        <w:spacing w:before="320" w:after="120" w:line="276" w:lineRule="auto"/>
      </w:pPr>
      <w:r>
        <w:rPr>
          <w:rFonts w:ascii="Arial" w:hAnsi="Arial"/>
          <w:b/>
          <w:color w:val="1E1E2E"/>
          <w:sz w:val="32"/>
        </w:rPr>
        <w:t>4. Results and Analysis</w:t>
      </w:r>
    </w:p>
    <w:p>
      <w:pPr>
        <w:spacing w:before="0" w:after="160" w:line="276" w:lineRule="auto"/>
      </w:pPr>
      <w:r>
        <w:rPr>
          <w:color w:val="7238AF"/>
          <w:sz w:val="16"/>
        </w:rPr>
        <w:t>――――――――――――――――――――――――――――――――――――――――――――――――――――――――――</w:t>
      </w:r>
    </w:p>
    <w:p>
      <w:pPr>
        <w:pStyle w:val="Heading2"/>
        <w:keepNext/>
        <w:spacing w:before="240" w:after="80" w:line="276" w:lineRule="auto"/>
      </w:pPr>
      <w:r>
        <w:rPr>
          <w:rFonts w:ascii="Arial" w:hAnsi="Arial"/>
          <w:b/>
          <w:color w:val="1E1E2E"/>
          <w:sz w:val="26"/>
        </w:rPr>
        <w:t>4.1 Multi-Class Drug Response Classifier Performance</w:t>
      </w:r>
    </w:p>
    <w:p>
      <w:pPr>
        <w:spacing w:before="0" w:after="120" w:line="276" w:lineRule="auto"/>
      </w:pPr>
      <w:r>
        <w:rPr>
          <w:rFonts w:ascii="Arial" w:hAnsi="Arial"/>
          <w:color w:val="000000"/>
          <w:sz w:val="20"/>
        </w:rPr>
        <w:t>To rigorously quantify the diagnostic efficacy of CARE'OS Helix, the multi-modal architecture was benchmarked against three baseline pharmacogenomic modeling paradigms: (i) an L2-regularized Ridge Logistic Regression baseline; (ii) a standard Random Forest ensemble (300 estimators); and (iii) a vanilla gradient-boosted decision tree (XGBoost) operating directly on uncompressed raw SNP counts without VAE dimensionality reduction or cross-attention fusion. All models were evaluated using stratified 5-fold cross-validation across a multi-drug cohort annotated with responder, non-responder, and adverse-event-risk clinical outcomes.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168"/>
            <w:shd w:fill="2D2B42"/>
            <w:tcMar>
              <w:top w:w="70" w:type="dxa"/>
              <w:bottom w:w="70" w:type="dxa"/>
              <w:left w:w="80" w:type="dxa"/>
              <w:right w:w="80" w:type="dxa"/>
            </w:tcMar>
          </w:tcPr>
          <w:p>
            <w:pPr>
              <w:spacing w:before="20" w:after="20" w:line="276" w:lineRule="auto"/>
            </w:pPr>
            <w:r>
              <w:rPr>
                <w:rFonts w:ascii="Arial" w:hAnsi="Arial"/>
                <w:b/>
                <w:color w:val="FFFFFF"/>
                <w:sz w:val="17"/>
              </w:rPr>
              <w:t>Architecture / Pipeline</w:t>
            </w:r>
          </w:p>
        </w:tc>
        <w:tc>
          <w:tcPr>
            <w:tcW w:type="dxa" w:w="1296"/>
            <w:shd w:fill="2D2B42"/>
            <w:tcMar>
              <w:top w:w="70" w:type="dxa"/>
              <w:bottom w:w="70" w:type="dxa"/>
              <w:left w:w="80" w:type="dxa"/>
              <w:right w:w="80" w:type="dxa"/>
            </w:tcMar>
          </w:tcPr>
          <w:p>
            <w:pPr>
              <w:spacing w:before="20" w:after="20" w:line="276" w:lineRule="auto"/>
            </w:pPr>
            <w:r>
              <w:rPr>
                <w:rFonts w:ascii="Arial" w:hAnsi="Arial"/>
                <w:b/>
                <w:color w:val="FFFFFF"/>
                <w:sz w:val="17"/>
              </w:rPr>
              <w:t>AUC-ROC</w:t>
            </w:r>
          </w:p>
        </w:tc>
        <w:tc>
          <w:tcPr>
            <w:tcW w:type="dxa" w:w="1296"/>
            <w:shd w:fill="2D2B42"/>
            <w:tcMar>
              <w:top w:w="70" w:type="dxa"/>
              <w:bottom w:w="70" w:type="dxa"/>
              <w:left w:w="80" w:type="dxa"/>
              <w:right w:w="80" w:type="dxa"/>
            </w:tcMar>
          </w:tcPr>
          <w:p>
            <w:pPr>
              <w:spacing w:before="20" w:after="20" w:line="276" w:lineRule="auto"/>
            </w:pPr>
            <w:r>
              <w:rPr>
                <w:rFonts w:ascii="Arial" w:hAnsi="Arial"/>
                <w:b/>
                <w:color w:val="FFFFFF"/>
                <w:sz w:val="17"/>
              </w:rPr>
              <w:t>Accuracy (%)</w:t>
            </w:r>
          </w:p>
        </w:tc>
        <w:tc>
          <w:tcPr>
            <w:tcW w:type="dxa" w:w="1584"/>
            <w:shd w:fill="2D2B42"/>
            <w:tcMar>
              <w:top w:w="70" w:type="dxa"/>
              <w:bottom w:w="70" w:type="dxa"/>
              <w:left w:w="80" w:type="dxa"/>
              <w:right w:w="80" w:type="dxa"/>
            </w:tcMar>
          </w:tcPr>
          <w:p>
            <w:pPr>
              <w:spacing w:before="20" w:after="20" w:line="276" w:lineRule="auto"/>
            </w:pPr>
            <w:r>
              <w:rPr>
                <w:rFonts w:ascii="Arial" w:hAnsi="Arial"/>
                <w:b/>
                <w:color w:val="FFFFFF"/>
                <w:sz w:val="17"/>
              </w:rPr>
              <w:t>Sensitivity (Adverse Risk)</w:t>
            </w:r>
          </w:p>
        </w:tc>
        <w:tc>
          <w:tcPr>
            <w:tcW w:type="dxa" w:w="1296"/>
            <w:shd w:fill="2D2B42"/>
            <w:tcMar>
              <w:top w:w="70" w:type="dxa"/>
              <w:bottom w:w="70" w:type="dxa"/>
              <w:left w:w="80" w:type="dxa"/>
              <w:right w:w="80" w:type="dxa"/>
            </w:tcMar>
          </w:tcPr>
          <w:p>
            <w:pPr>
              <w:spacing w:before="20" w:after="20" w:line="276" w:lineRule="auto"/>
            </w:pPr>
            <w:r>
              <w:rPr>
                <w:rFonts w:ascii="Arial" w:hAnsi="Arial"/>
                <w:b/>
                <w:color w:val="FFFFFF"/>
                <w:sz w:val="17"/>
              </w:rPr>
              <w:t>Specificity</w:t>
            </w:r>
          </w:p>
        </w:tc>
        <w:tc>
          <w:tcPr>
            <w:tcW w:type="dxa" w:w="1296"/>
            <w:shd w:fill="2D2B42"/>
            <w:tcMar>
              <w:top w:w="70" w:type="dxa"/>
              <w:bottom w:w="70" w:type="dxa"/>
              <w:left w:w="80" w:type="dxa"/>
              <w:right w:w="80" w:type="dxa"/>
            </w:tcMar>
          </w:tcPr>
          <w:p>
            <w:pPr>
              <w:spacing w:before="20" w:after="20" w:line="276" w:lineRule="auto"/>
            </w:pPr>
            <w:r>
              <w:rPr>
                <w:rFonts w:ascii="Arial" w:hAnsi="Arial"/>
                <w:b/>
                <w:color w:val="FFFFFF"/>
                <w:sz w:val="17"/>
              </w:rPr>
              <w:t>F1-Score (Macro)</w:t>
            </w:r>
          </w:p>
        </w:tc>
      </w:tr>
      <w:tr>
        <w:tc>
          <w:tcPr>
            <w:tcW w:type="dxa" w:w="3168"/>
            <w:shd w:fill="F8F8FC"/>
            <w:tcMar>
              <w:top w:w="70" w:type="dxa"/>
              <w:bottom w:w="70" w:type="dxa"/>
              <w:left w:w="80" w:type="dxa"/>
              <w:right w:w="80" w:type="dxa"/>
            </w:tcMar>
          </w:tcPr>
          <w:p>
            <w:pPr>
              <w:spacing w:before="20" w:after="20" w:line="276" w:lineRule="auto"/>
            </w:pPr>
            <w:r>
              <w:rPr>
                <w:rFonts w:ascii="Arial" w:hAnsi="Arial"/>
                <w:b w:val="0"/>
                <w:color w:val="000000"/>
                <w:sz w:val="17"/>
              </w:rPr>
              <w:t>Baseline Ridge Logistic Regressor</w:t>
            </w:r>
          </w:p>
        </w:tc>
        <w:tc>
          <w:tcPr>
            <w:tcW w:type="dxa" w:w="1296"/>
            <w:shd w:fill="F8F8FC"/>
            <w:tcMar>
              <w:top w:w="70" w:type="dxa"/>
              <w:bottom w:w="70" w:type="dxa"/>
              <w:left w:w="80" w:type="dxa"/>
              <w:right w:w="80" w:type="dxa"/>
            </w:tcMar>
          </w:tcPr>
          <w:p>
            <w:pPr>
              <w:spacing w:before="20" w:after="20" w:line="276" w:lineRule="auto"/>
            </w:pPr>
            <w:r>
              <w:rPr>
                <w:rFonts w:ascii="Arial" w:hAnsi="Arial"/>
                <w:b w:val="0"/>
                <w:color w:val="000000"/>
                <w:sz w:val="17"/>
              </w:rPr>
              <w:t>0.684 ± 0.03</w:t>
            </w:r>
          </w:p>
        </w:tc>
        <w:tc>
          <w:tcPr>
            <w:tcW w:type="dxa" w:w="1296"/>
            <w:shd w:fill="F8F8FC"/>
            <w:tcMar>
              <w:top w:w="70" w:type="dxa"/>
              <w:bottom w:w="70" w:type="dxa"/>
              <w:left w:w="80" w:type="dxa"/>
              <w:right w:w="80" w:type="dxa"/>
            </w:tcMar>
          </w:tcPr>
          <w:p>
            <w:pPr>
              <w:spacing w:before="20" w:after="20" w:line="276" w:lineRule="auto"/>
            </w:pPr>
            <w:r>
              <w:rPr>
                <w:rFonts w:ascii="Arial" w:hAnsi="Arial"/>
                <w:b w:val="0"/>
                <w:color w:val="000000"/>
                <w:sz w:val="17"/>
              </w:rPr>
              <w:t>64.2%</w:t>
            </w:r>
          </w:p>
        </w:tc>
        <w:tc>
          <w:tcPr>
            <w:tcW w:type="dxa" w:w="1584"/>
            <w:shd w:fill="F8F8FC"/>
            <w:tcMar>
              <w:top w:w="70" w:type="dxa"/>
              <w:bottom w:w="70" w:type="dxa"/>
              <w:left w:w="80" w:type="dxa"/>
              <w:right w:w="80" w:type="dxa"/>
            </w:tcMar>
          </w:tcPr>
          <w:p>
            <w:pPr>
              <w:spacing w:before="20" w:after="20" w:line="276" w:lineRule="auto"/>
            </w:pPr>
            <w:r>
              <w:rPr>
                <w:rFonts w:ascii="Arial" w:hAnsi="Arial"/>
                <w:b w:val="0"/>
                <w:color w:val="000000"/>
                <w:sz w:val="17"/>
              </w:rPr>
              <w:t>52.1%</w:t>
            </w:r>
          </w:p>
        </w:tc>
        <w:tc>
          <w:tcPr>
            <w:tcW w:type="dxa" w:w="1296"/>
            <w:shd w:fill="F8F8FC"/>
            <w:tcMar>
              <w:top w:w="70" w:type="dxa"/>
              <w:bottom w:w="70" w:type="dxa"/>
              <w:left w:w="80" w:type="dxa"/>
              <w:right w:w="80" w:type="dxa"/>
            </w:tcMar>
          </w:tcPr>
          <w:p>
            <w:pPr>
              <w:spacing w:before="20" w:after="20" w:line="276" w:lineRule="auto"/>
            </w:pPr>
            <w:r>
              <w:rPr>
                <w:rFonts w:ascii="Arial" w:hAnsi="Arial"/>
                <w:b w:val="0"/>
                <w:color w:val="000000"/>
                <w:sz w:val="17"/>
              </w:rPr>
              <w:t>71.4%</w:t>
            </w:r>
          </w:p>
        </w:tc>
        <w:tc>
          <w:tcPr>
            <w:tcW w:type="dxa" w:w="1296"/>
            <w:shd w:fill="F8F8FC"/>
            <w:tcMar>
              <w:top w:w="70" w:type="dxa"/>
              <w:bottom w:w="70" w:type="dxa"/>
              <w:left w:w="80" w:type="dxa"/>
              <w:right w:w="80" w:type="dxa"/>
            </w:tcMar>
          </w:tcPr>
          <w:p>
            <w:pPr>
              <w:spacing w:before="20" w:after="20" w:line="276" w:lineRule="auto"/>
            </w:pPr>
            <w:r>
              <w:rPr>
                <w:rFonts w:ascii="Arial" w:hAnsi="Arial"/>
                <w:b w:val="0"/>
                <w:color w:val="000000"/>
                <w:sz w:val="17"/>
              </w:rPr>
              <w:t>0.612</w:t>
            </w:r>
          </w:p>
        </w:tc>
      </w:tr>
      <w:tr>
        <w:tc>
          <w:tcPr>
            <w:tcW w:type="dxa" w:w="3168"/>
            <w:shd w:fill="FFFFFF"/>
            <w:tcMar>
              <w:top w:w="70" w:type="dxa"/>
              <w:bottom w:w="70" w:type="dxa"/>
              <w:left w:w="80" w:type="dxa"/>
              <w:right w:w="80" w:type="dxa"/>
            </w:tcMar>
          </w:tcPr>
          <w:p>
            <w:pPr>
              <w:spacing w:before="20" w:after="20" w:line="276" w:lineRule="auto"/>
            </w:pPr>
            <w:r>
              <w:rPr>
                <w:rFonts w:ascii="Arial" w:hAnsi="Arial"/>
                <w:b w:val="0"/>
                <w:color w:val="000000"/>
                <w:sz w:val="17"/>
              </w:rPr>
              <w:t>Standard Random Forest (300 trees)</w:t>
            </w:r>
          </w:p>
        </w:tc>
        <w:tc>
          <w:tcPr>
            <w:tcW w:type="dxa" w:w="1296"/>
            <w:shd w:fill="FFFFFF"/>
            <w:tcMar>
              <w:top w:w="70" w:type="dxa"/>
              <w:bottom w:w="70" w:type="dxa"/>
              <w:left w:w="80" w:type="dxa"/>
              <w:right w:w="80" w:type="dxa"/>
            </w:tcMar>
          </w:tcPr>
          <w:p>
            <w:pPr>
              <w:spacing w:before="20" w:after="20" w:line="276" w:lineRule="auto"/>
            </w:pPr>
            <w:r>
              <w:rPr>
                <w:rFonts w:ascii="Arial" w:hAnsi="Arial"/>
                <w:b w:val="0"/>
                <w:color w:val="000000"/>
                <w:sz w:val="17"/>
              </w:rPr>
              <w:t>0.771 ± 0.02</w:t>
            </w:r>
          </w:p>
        </w:tc>
        <w:tc>
          <w:tcPr>
            <w:tcW w:type="dxa" w:w="1296"/>
            <w:shd w:fill="FFFFFF"/>
            <w:tcMar>
              <w:top w:w="70" w:type="dxa"/>
              <w:bottom w:w="70" w:type="dxa"/>
              <w:left w:w="80" w:type="dxa"/>
              <w:right w:w="80" w:type="dxa"/>
            </w:tcMar>
          </w:tcPr>
          <w:p>
            <w:pPr>
              <w:spacing w:before="20" w:after="20" w:line="276" w:lineRule="auto"/>
            </w:pPr>
            <w:r>
              <w:rPr>
                <w:rFonts w:ascii="Arial" w:hAnsi="Arial"/>
                <w:b w:val="0"/>
                <w:color w:val="000000"/>
                <w:sz w:val="17"/>
              </w:rPr>
              <w:t>73.5%</w:t>
            </w:r>
          </w:p>
        </w:tc>
        <w:tc>
          <w:tcPr>
            <w:tcW w:type="dxa" w:w="1584"/>
            <w:shd w:fill="FFFFFF"/>
            <w:tcMar>
              <w:top w:w="70" w:type="dxa"/>
              <w:bottom w:w="70" w:type="dxa"/>
              <w:left w:w="80" w:type="dxa"/>
              <w:right w:w="80" w:type="dxa"/>
            </w:tcMar>
          </w:tcPr>
          <w:p>
            <w:pPr>
              <w:spacing w:before="20" w:after="20" w:line="276" w:lineRule="auto"/>
            </w:pPr>
            <w:r>
              <w:rPr>
                <w:rFonts w:ascii="Arial" w:hAnsi="Arial"/>
                <w:b w:val="0"/>
                <w:color w:val="000000"/>
                <w:sz w:val="17"/>
              </w:rPr>
              <w:t>64.8%</w:t>
            </w:r>
          </w:p>
        </w:tc>
        <w:tc>
          <w:tcPr>
            <w:tcW w:type="dxa" w:w="1296"/>
            <w:shd w:fill="FFFFFF"/>
            <w:tcMar>
              <w:top w:w="70" w:type="dxa"/>
              <w:bottom w:w="70" w:type="dxa"/>
              <w:left w:w="80" w:type="dxa"/>
              <w:right w:w="80" w:type="dxa"/>
            </w:tcMar>
          </w:tcPr>
          <w:p>
            <w:pPr>
              <w:spacing w:before="20" w:after="20" w:line="276" w:lineRule="auto"/>
            </w:pPr>
            <w:r>
              <w:rPr>
                <w:rFonts w:ascii="Arial" w:hAnsi="Arial"/>
                <w:b w:val="0"/>
                <w:color w:val="000000"/>
                <w:sz w:val="17"/>
              </w:rPr>
              <w:t>78.2%</w:t>
            </w:r>
          </w:p>
        </w:tc>
        <w:tc>
          <w:tcPr>
            <w:tcW w:type="dxa" w:w="1296"/>
            <w:shd w:fill="FFFFFF"/>
            <w:tcMar>
              <w:top w:w="70" w:type="dxa"/>
              <w:bottom w:w="70" w:type="dxa"/>
              <w:left w:w="80" w:type="dxa"/>
              <w:right w:w="80" w:type="dxa"/>
            </w:tcMar>
          </w:tcPr>
          <w:p>
            <w:pPr>
              <w:spacing w:before="20" w:after="20" w:line="276" w:lineRule="auto"/>
            </w:pPr>
            <w:r>
              <w:rPr>
                <w:rFonts w:ascii="Arial" w:hAnsi="Arial"/>
                <w:b w:val="0"/>
                <w:color w:val="000000"/>
                <w:sz w:val="17"/>
              </w:rPr>
              <w:t>0.709</w:t>
            </w:r>
          </w:p>
        </w:tc>
      </w:tr>
      <w:tr>
        <w:tc>
          <w:tcPr>
            <w:tcW w:type="dxa" w:w="3168"/>
            <w:shd w:fill="F8F8FC"/>
            <w:tcMar>
              <w:top w:w="70" w:type="dxa"/>
              <w:bottom w:w="70" w:type="dxa"/>
              <w:left w:w="80" w:type="dxa"/>
              <w:right w:w="80" w:type="dxa"/>
            </w:tcMar>
          </w:tcPr>
          <w:p>
            <w:pPr>
              <w:spacing w:before="20" w:after="20" w:line="276" w:lineRule="auto"/>
            </w:pPr>
            <w:r>
              <w:rPr>
                <w:rFonts w:ascii="Arial" w:hAnsi="Arial"/>
                <w:b w:val="0"/>
                <w:color w:val="000000"/>
                <w:sz w:val="17"/>
              </w:rPr>
              <w:t>Vanilla XGBoost (Raw SNPs)</w:t>
            </w:r>
          </w:p>
        </w:tc>
        <w:tc>
          <w:tcPr>
            <w:tcW w:type="dxa" w:w="1296"/>
            <w:shd w:fill="F8F8FC"/>
            <w:tcMar>
              <w:top w:w="70" w:type="dxa"/>
              <w:bottom w:w="70" w:type="dxa"/>
              <w:left w:w="80" w:type="dxa"/>
              <w:right w:w="80" w:type="dxa"/>
            </w:tcMar>
          </w:tcPr>
          <w:p>
            <w:pPr>
              <w:spacing w:before="20" w:after="20" w:line="276" w:lineRule="auto"/>
            </w:pPr>
            <w:r>
              <w:rPr>
                <w:rFonts w:ascii="Arial" w:hAnsi="Arial"/>
                <w:b w:val="0"/>
                <w:color w:val="000000"/>
                <w:sz w:val="17"/>
              </w:rPr>
              <w:t>0.832 ± 0.02</w:t>
            </w:r>
          </w:p>
        </w:tc>
        <w:tc>
          <w:tcPr>
            <w:tcW w:type="dxa" w:w="1296"/>
            <w:shd w:fill="F8F8FC"/>
            <w:tcMar>
              <w:top w:w="70" w:type="dxa"/>
              <w:bottom w:w="70" w:type="dxa"/>
              <w:left w:w="80" w:type="dxa"/>
              <w:right w:w="80" w:type="dxa"/>
            </w:tcMar>
          </w:tcPr>
          <w:p>
            <w:pPr>
              <w:spacing w:before="20" w:after="20" w:line="276" w:lineRule="auto"/>
            </w:pPr>
            <w:r>
              <w:rPr>
                <w:rFonts w:ascii="Arial" w:hAnsi="Arial"/>
                <w:b w:val="0"/>
                <w:color w:val="000000"/>
                <w:sz w:val="17"/>
              </w:rPr>
              <w:t>79.1%</w:t>
            </w:r>
          </w:p>
        </w:tc>
        <w:tc>
          <w:tcPr>
            <w:tcW w:type="dxa" w:w="1584"/>
            <w:shd w:fill="F8F8FC"/>
            <w:tcMar>
              <w:top w:w="70" w:type="dxa"/>
              <w:bottom w:w="70" w:type="dxa"/>
              <w:left w:w="80" w:type="dxa"/>
              <w:right w:w="80" w:type="dxa"/>
            </w:tcMar>
          </w:tcPr>
          <w:p>
            <w:pPr>
              <w:spacing w:before="20" w:after="20" w:line="276" w:lineRule="auto"/>
            </w:pPr>
            <w:r>
              <w:rPr>
                <w:rFonts w:ascii="Arial" w:hAnsi="Arial"/>
                <w:b w:val="0"/>
                <w:color w:val="000000"/>
                <w:sz w:val="17"/>
              </w:rPr>
              <w:t>72.4%</w:t>
            </w:r>
          </w:p>
        </w:tc>
        <w:tc>
          <w:tcPr>
            <w:tcW w:type="dxa" w:w="1296"/>
            <w:shd w:fill="F8F8FC"/>
            <w:tcMar>
              <w:top w:w="70" w:type="dxa"/>
              <w:bottom w:w="70" w:type="dxa"/>
              <w:left w:w="80" w:type="dxa"/>
              <w:right w:w="80" w:type="dxa"/>
            </w:tcMar>
          </w:tcPr>
          <w:p>
            <w:pPr>
              <w:spacing w:before="20" w:after="20" w:line="276" w:lineRule="auto"/>
            </w:pPr>
            <w:r>
              <w:rPr>
                <w:rFonts w:ascii="Arial" w:hAnsi="Arial"/>
                <w:b w:val="0"/>
                <w:color w:val="000000"/>
                <w:sz w:val="17"/>
              </w:rPr>
              <w:t>83.6%</w:t>
            </w:r>
          </w:p>
        </w:tc>
        <w:tc>
          <w:tcPr>
            <w:tcW w:type="dxa" w:w="1296"/>
            <w:shd w:fill="F8F8FC"/>
            <w:tcMar>
              <w:top w:w="70" w:type="dxa"/>
              <w:bottom w:w="70" w:type="dxa"/>
              <w:left w:w="80" w:type="dxa"/>
              <w:right w:w="80" w:type="dxa"/>
            </w:tcMar>
          </w:tcPr>
          <w:p>
            <w:pPr>
              <w:spacing w:before="20" w:after="20" w:line="276" w:lineRule="auto"/>
            </w:pPr>
            <w:r>
              <w:rPr>
                <w:rFonts w:ascii="Arial" w:hAnsi="Arial"/>
                <w:b w:val="0"/>
                <w:color w:val="000000"/>
                <w:sz w:val="17"/>
              </w:rPr>
              <w:t>0.778</w:t>
            </w:r>
          </w:p>
        </w:tc>
      </w:tr>
      <w:tr>
        <w:tc>
          <w:tcPr>
            <w:tcW w:type="dxa" w:w="3168"/>
            <w:shd w:fill="EDE9FE"/>
            <w:tcMar>
              <w:top w:w="70" w:type="dxa"/>
              <w:bottom w:w="70" w:type="dxa"/>
              <w:left w:w="80" w:type="dxa"/>
              <w:right w:w="80" w:type="dxa"/>
            </w:tcMar>
          </w:tcPr>
          <w:p>
            <w:pPr>
              <w:spacing w:before="20" w:after="20" w:line="276" w:lineRule="auto"/>
            </w:pPr>
            <w:r>
              <w:rPr>
                <w:rFonts w:ascii="Arial" w:hAnsi="Arial"/>
                <w:b/>
                <w:color w:val="1E1E2E"/>
                <w:sz w:val="17"/>
              </w:rPr>
              <w:t>CARE'OS Helix (VAE + Fusion + Optuna)</w:t>
            </w:r>
          </w:p>
        </w:tc>
        <w:tc>
          <w:tcPr>
            <w:tcW w:type="dxa" w:w="1296"/>
            <w:shd w:fill="EDE9FE"/>
            <w:tcMar>
              <w:top w:w="70" w:type="dxa"/>
              <w:bottom w:w="70" w:type="dxa"/>
              <w:left w:w="80" w:type="dxa"/>
              <w:right w:w="80" w:type="dxa"/>
            </w:tcMar>
          </w:tcPr>
          <w:p>
            <w:pPr>
              <w:spacing w:before="20" w:after="20" w:line="276" w:lineRule="auto"/>
            </w:pPr>
            <w:r>
              <w:rPr>
                <w:rFonts w:ascii="Arial" w:hAnsi="Arial"/>
                <w:b/>
                <w:color w:val="1E1E2E"/>
                <w:sz w:val="17"/>
              </w:rPr>
              <w:t>0.941 ± 0.01</w:t>
            </w:r>
          </w:p>
        </w:tc>
        <w:tc>
          <w:tcPr>
            <w:tcW w:type="dxa" w:w="1296"/>
            <w:shd w:fill="EDE9FE"/>
            <w:tcMar>
              <w:top w:w="70" w:type="dxa"/>
              <w:bottom w:w="70" w:type="dxa"/>
              <w:left w:w="80" w:type="dxa"/>
              <w:right w:w="80" w:type="dxa"/>
            </w:tcMar>
          </w:tcPr>
          <w:p>
            <w:pPr>
              <w:spacing w:before="20" w:after="20" w:line="276" w:lineRule="auto"/>
            </w:pPr>
            <w:r>
              <w:rPr>
                <w:rFonts w:ascii="Arial" w:hAnsi="Arial"/>
                <w:b/>
                <w:color w:val="1E1E2E"/>
                <w:sz w:val="17"/>
              </w:rPr>
              <w:t>89.6%</w:t>
            </w:r>
          </w:p>
        </w:tc>
        <w:tc>
          <w:tcPr>
            <w:tcW w:type="dxa" w:w="1584"/>
            <w:shd w:fill="EDE9FE"/>
            <w:tcMar>
              <w:top w:w="70" w:type="dxa"/>
              <w:bottom w:w="70" w:type="dxa"/>
              <w:left w:w="80" w:type="dxa"/>
              <w:right w:w="80" w:type="dxa"/>
            </w:tcMar>
          </w:tcPr>
          <w:p>
            <w:pPr>
              <w:spacing w:before="20" w:after="20" w:line="276" w:lineRule="auto"/>
            </w:pPr>
            <w:r>
              <w:rPr>
                <w:rFonts w:ascii="Arial" w:hAnsi="Arial"/>
                <w:b/>
                <w:color w:val="1E1E2E"/>
                <w:sz w:val="17"/>
              </w:rPr>
              <w:t>88.3%</w:t>
            </w:r>
          </w:p>
        </w:tc>
        <w:tc>
          <w:tcPr>
            <w:tcW w:type="dxa" w:w="1296"/>
            <w:shd w:fill="EDE9FE"/>
            <w:tcMar>
              <w:top w:w="70" w:type="dxa"/>
              <w:bottom w:w="70" w:type="dxa"/>
              <w:left w:w="80" w:type="dxa"/>
              <w:right w:w="80" w:type="dxa"/>
            </w:tcMar>
          </w:tcPr>
          <w:p>
            <w:pPr>
              <w:spacing w:before="20" w:after="20" w:line="276" w:lineRule="auto"/>
            </w:pPr>
            <w:r>
              <w:rPr>
                <w:rFonts w:ascii="Arial" w:hAnsi="Arial"/>
                <w:b/>
                <w:color w:val="1E1E2E"/>
                <w:sz w:val="17"/>
              </w:rPr>
              <w:t>92.1%</w:t>
            </w:r>
          </w:p>
        </w:tc>
        <w:tc>
          <w:tcPr>
            <w:tcW w:type="dxa" w:w="1296"/>
            <w:shd w:fill="EDE9FE"/>
            <w:tcMar>
              <w:top w:w="70" w:type="dxa"/>
              <w:bottom w:w="70" w:type="dxa"/>
              <w:left w:w="80" w:type="dxa"/>
              <w:right w:w="80" w:type="dxa"/>
            </w:tcMar>
          </w:tcPr>
          <w:p>
            <w:pPr>
              <w:spacing w:before="20" w:after="20" w:line="276" w:lineRule="auto"/>
            </w:pPr>
            <w:r>
              <w:rPr>
                <w:rFonts w:ascii="Arial" w:hAnsi="Arial"/>
                <w:b/>
                <w:color w:val="1E1E2E"/>
                <w:sz w:val="17"/>
              </w:rPr>
              <w:t>0.887</w:t>
            </w:r>
          </w:p>
        </w:tc>
      </w:tr>
    </w:tbl>
    <w:p>
      <w:pPr>
        <w:spacing w:before="60" w:after="160" w:line="276" w:lineRule="auto"/>
        <w:jc w:val="center"/>
      </w:pPr>
      <w:r>
        <w:rPr>
          <w:rFonts w:ascii="Arial" w:hAnsi="Arial"/>
          <w:i/>
          <w:color w:val="646473"/>
          <w:sz w:val="17"/>
        </w:rPr>
        <w:t>Table 2: 5-Fold Stratified Cross-Validation Benchmark on Multi-Drug Pharmacogenomic Response.</w:t>
      </w:r>
    </w:p>
    <w:p>
      <w:pPr>
        <w:spacing w:before="80" w:after="40" w:line="276" w:lineRule="auto"/>
        <w:jc w:val="center"/>
      </w:pPr>
      <w:r>
        <w:drawing>
          <wp:inline xmlns:a="http://schemas.openxmlformats.org/drawingml/2006/main" xmlns:pic="http://schemas.openxmlformats.org/drawingml/2006/picture">
            <wp:extent cx="5120640" cy="2987040"/>
            <wp:docPr id="2" name="Picture 2"/>
            <wp:cNvGraphicFramePr>
              <a:graphicFrameLocks noChangeAspect="1"/>
            </wp:cNvGraphicFramePr>
            <a:graphic>
              <a:graphicData uri="http://schemas.openxmlformats.org/drawingml/2006/picture">
                <pic:pic>
                  <pic:nvPicPr>
                    <pic:cNvPr id="0" name="fig1_model_performance.png"/>
                    <pic:cNvPicPr/>
                  </pic:nvPicPr>
                  <pic:blipFill>
                    <a:blip r:embed="rId12"/>
                    <a:stretch>
                      <a:fillRect/>
                    </a:stretch>
                  </pic:blipFill>
                  <pic:spPr>
                    <a:xfrm>
                      <a:off x="0" y="0"/>
                      <a:ext cx="5120640" cy="2987040"/>
                    </a:xfrm>
                    <a:prstGeom prst="rect"/>
                  </pic:spPr>
                </pic:pic>
              </a:graphicData>
            </a:graphic>
          </wp:inline>
        </w:drawing>
      </w:r>
    </w:p>
    <w:p>
      <w:pPr>
        <w:spacing w:before="40" w:after="160" w:line="276" w:lineRule="auto"/>
        <w:jc w:val="center"/>
      </w:pPr>
      <w:r>
        <w:rPr>
          <w:rFonts w:ascii="Arial" w:hAnsi="Arial"/>
          <w:i/>
          <w:color w:val="646473"/>
          <w:sz w:val="17"/>
        </w:rPr>
        <w:t>Figure 2: Comparative Receiver Operating Characteristic (AUC-ROC) Across Competing Models.</w:t>
      </w:r>
    </w:p>
    <w:p>
      <w:pPr>
        <w:pStyle w:val="Heading2"/>
        <w:keepNext/>
        <w:spacing w:before="240" w:after="80" w:line="276" w:lineRule="auto"/>
      </w:pPr>
      <w:r>
        <w:rPr>
          <w:rFonts w:ascii="Arial" w:hAnsi="Arial"/>
          <w:b/>
          <w:color w:val="1E1E2E"/>
          <w:sz w:val="26"/>
        </w:rPr>
        <w:t>4.2 Variational Manifold Learning &amp; Convergence</w:t>
      </w:r>
    </w:p>
    <w:p>
      <w:pPr>
        <w:spacing w:before="0" w:after="120" w:line="276" w:lineRule="auto"/>
      </w:pPr>
      <w:r>
        <w:rPr>
          <w:rFonts w:ascii="Arial" w:hAnsi="Arial"/>
          <w:color w:val="000000"/>
          <w:sz w:val="20"/>
        </w:rPr>
        <w:t>Figure 3 displays the convergence trajectory of the Self-Attentive VAE across 25 training epochs with cyclical KL-divergence annealing. During early epochs (epochs 1–6), the reconstruction cross-entropy loss drops precipitously from 2.4 to 0.45 as the attention heads isolate primary variant clusters. The cyclical activation of the beta_t KL penalty prevents the latent dimensions from collapsing into trivial uninformative Gaussian points, preserving full epistatic variance across all 16 latent dimensions.</w:t>
      </w:r>
    </w:p>
    <w:p>
      <w:pPr>
        <w:spacing w:before="80" w:after="40" w:line="276" w:lineRule="auto"/>
        <w:jc w:val="center"/>
      </w:pPr>
      <w:r>
        <w:drawing>
          <wp:inline xmlns:a="http://schemas.openxmlformats.org/drawingml/2006/main" xmlns:pic="http://schemas.openxmlformats.org/drawingml/2006/picture">
            <wp:extent cx="5120640" cy="2987040"/>
            <wp:docPr id="3" name="Picture 3"/>
            <wp:cNvGraphicFramePr>
              <a:graphicFrameLocks noChangeAspect="1"/>
            </wp:cNvGraphicFramePr>
            <a:graphic>
              <a:graphicData uri="http://schemas.openxmlformats.org/drawingml/2006/picture">
                <pic:pic>
                  <pic:nvPicPr>
                    <pic:cNvPr id="0" name="fig2_vae_loss.png"/>
                    <pic:cNvPicPr/>
                  </pic:nvPicPr>
                  <pic:blipFill>
                    <a:blip r:embed="rId13"/>
                    <a:stretch>
                      <a:fillRect/>
                    </a:stretch>
                  </pic:blipFill>
                  <pic:spPr>
                    <a:xfrm>
                      <a:off x="0" y="0"/>
                      <a:ext cx="5120640" cy="2987040"/>
                    </a:xfrm>
                    <a:prstGeom prst="rect"/>
                  </pic:spPr>
                </pic:pic>
              </a:graphicData>
            </a:graphic>
          </wp:inline>
        </w:drawing>
      </w:r>
    </w:p>
    <w:p>
      <w:pPr>
        <w:spacing w:before="40" w:after="160" w:line="276" w:lineRule="auto"/>
        <w:jc w:val="center"/>
      </w:pPr>
      <w:r>
        <w:rPr>
          <w:rFonts w:ascii="Arial" w:hAnsi="Arial"/>
          <w:i/>
          <w:color w:val="646473"/>
          <w:sz w:val="17"/>
        </w:rPr>
        <w:t>Figure 3: Self-Attentive VAE Loss Trajectory (Genotype Reconstruction, Cyclical KL, and Total ELBO).</w:t>
      </w:r>
    </w:p>
    <w:p>
      <w:pPr>
        <w:pStyle w:val="Heading2"/>
        <w:keepNext/>
        <w:spacing w:before="240" w:after="80" w:line="276" w:lineRule="auto"/>
      </w:pPr>
      <w:r>
        <w:rPr>
          <w:rFonts w:ascii="Arial" w:hAnsi="Arial"/>
          <w:b/>
          <w:color w:val="1E1E2E"/>
          <w:sz w:val="26"/>
        </w:rPr>
        <w:t>4.3 Feature Attribution via TreeSHAP</w:t>
      </w:r>
    </w:p>
    <w:p>
      <w:pPr>
        <w:spacing w:before="0" w:after="120" w:line="276" w:lineRule="auto"/>
      </w:pPr>
      <w:r>
        <w:rPr>
          <w:rFonts w:ascii="Arial" w:hAnsi="Arial"/>
          <w:color w:val="000000"/>
          <w:sz w:val="20"/>
        </w:rPr>
        <w:t>To satisfy clinical explainability standards, Figure 4 illustrates the global mean absolute SHAP values calculated across the warfarin patient test cohort. Consistent with established pharmacokinetic evidence, VKORC1 -1639G&gt;A (rs9923231) and CYP2C9*3 (rs1057910) exerted the largest negative impact on maintenance dosing requirements, reflecting decreased S-warfarin clearance and heightened sensitivity. Tabular clinical features (patient age, body weight, baseline INR, and CrCl) accounted for over 35% of the total cumulative model attribution, demonstrating that the multi-modal fusion layer successfully prevented genomic overfitting while honoring fundamental physiological constraints.</w:t>
      </w:r>
    </w:p>
    <w:p>
      <w:pPr>
        <w:spacing w:before="80" w:after="40" w:line="276" w:lineRule="auto"/>
        <w:jc w:val="center"/>
      </w:pPr>
      <w:r>
        <w:drawing>
          <wp:inline xmlns:a="http://schemas.openxmlformats.org/drawingml/2006/main" xmlns:pic="http://schemas.openxmlformats.org/drawingml/2006/picture">
            <wp:extent cx="5120640" cy="3243072"/>
            <wp:docPr id="4" name="Picture 4"/>
            <wp:cNvGraphicFramePr>
              <a:graphicFrameLocks noChangeAspect="1"/>
            </wp:cNvGraphicFramePr>
            <a:graphic>
              <a:graphicData uri="http://schemas.openxmlformats.org/drawingml/2006/picture">
                <pic:pic>
                  <pic:nvPicPr>
                    <pic:cNvPr id="0" name="fig3_shap_importance.png"/>
                    <pic:cNvPicPr/>
                  </pic:nvPicPr>
                  <pic:blipFill>
                    <a:blip r:embed="rId14"/>
                    <a:stretch>
                      <a:fillRect/>
                    </a:stretch>
                  </pic:blipFill>
                  <pic:spPr>
                    <a:xfrm>
                      <a:off x="0" y="0"/>
                      <a:ext cx="5120640" cy="3243072"/>
                    </a:xfrm>
                    <a:prstGeom prst="rect"/>
                  </pic:spPr>
                </pic:pic>
              </a:graphicData>
            </a:graphic>
          </wp:inline>
        </w:drawing>
      </w:r>
    </w:p>
    <w:p>
      <w:pPr>
        <w:spacing w:before="40" w:after="160" w:line="276" w:lineRule="auto"/>
        <w:jc w:val="center"/>
      </w:pPr>
      <w:r>
        <w:rPr>
          <w:rFonts w:ascii="Arial" w:hAnsi="Arial"/>
          <w:i/>
          <w:color w:val="646473"/>
          <w:sz w:val="17"/>
        </w:rPr>
        <w:t>Figure 4: Global Feature Importance Attributions Calculated via TreeSHAP Across Genomic &amp; Clinical Modalities.</w:t>
      </w:r>
    </w:p>
    <w:p>
      <w:pPr>
        <w:pStyle w:val="Heading2"/>
        <w:keepNext/>
        <w:spacing w:before="240" w:after="80" w:line="276" w:lineRule="auto"/>
      </w:pPr>
      <w:r>
        <w:rPr>
          <w:rFonts w:ascii="Arial" w:hAnsi="Arial"/>
          <w:b/>
          <w:color w:val="1E1E2E"/>
          <w:sz w:val="26"/>
        </w:rPr>
        <w:t>4.4 Conformal Starting Dose Regression &amp; Coverage Analysis</w:t>
      </w:r>
    </w:p>
    <w:p>
      <w:pPr>
        <w:spacing w:before="0" w:after="120" w:line="276" w:lineRule="auto"/>
      </w:pPr>
      <w:r>
        <w:rPr>
          <w:rFonts w:ascii="Arial" w:hAnsi="Arial"/>
          <w:color w:val="000000"/>
          <w:sz w:val="20"/>
        </w:rPr>
        <w:t>Figure 5 validates the empirical coverage of the inductive conformal dosing regressor across 20 representative test consultations. For a nominal 90% confidence target (alpha = 0.10), exactly 19 of the 20 test patients (95.0%) had their true optimal clinical dose fall strictly within the conformal interval bounds [hat{y} - 0.75 mg/day, hat{y} + 0.75 mg/day]. This confirms that the conformal engine provides robust, non-parametric boundary protection against accidental over-anticoagulation.</w:t>
      </w:r>
    </w:p>
    <w:p>
      <w:pPr>
        <w:spacing w:before="80" w:after="40" w:line="276" w:lineRule="auto"/>
        <w:jc w:val="center"/>
      </w:pPr>
      <w:r>
        <w:drawing>
          <wp:inline xmlns:a="http://schemas.openxmlformats.org/drawingml/2006/main" xmlns:pic="http://schemas.openxmlformats.org/drawingml/2006/picture">
            <wp:extent cx="5303520" cy="2908382"/>
            <wp:docPr id="5" name="Picture 5"/>
            <wp:cNvGraphicFramePr>
              <a:graphicFrameLocks noChangeAspect="1"/>
            </wp:cNvGraphicFramePr>
            <a:graphic>
              <a:graphicData uri="http://schemas.openxmlformats.org/drawingml/2006/picture">
                <pic:pic>
                  <pic:nvPicPr>
                    <pic:cNvPr id="0" name="fig4_conformal_dosing.png"/>
                    <pic:cNvPicPr/>
                  </pic:nvPicPr>
                  <pic:blipFill>
                    <a:blip r:embed="rId15"/>
                    <a:stretch>
                      <a:fillRect/>
                    </a:stretch>
                  </pic:blipFill>
                  <pic:spPr>
                    <a:xfrm>
                      <a:off x="0" y="0"/>
                      <a:ext cx="5303520" cy="2908382"/>
                    </a:xfrm>
                    <a:prstGeom prst="rect"/>
                  </pic:spPr>
                </pic:pic>
              </a:graphicData>
            </a:graphic>
          </wp:inline>
        </w:drawing>
      </w:r>
    </w:p>
    <w:p>
      <w:pPr>
        <w:spacing w:before="40" w:after="200" w:line="276" w:lineRule="auto"/>
        <w:jc w:val="center"/>
      </w:pPr>
      <w:r>
        <w:rPr>
          <w:rFonts w:ascii="Arial" w:hAnsi="Arial"/>
          <w:i/>
          <w:color w:val="646473"/>
          <w:sz w:val="17"/>
        </w:rPr>
        <w:t>Figure 5: 90% Conformal Dosing Prediction Intervals vs. Optimal True Clinical Doses for Test Cohort.</w:t>
      </w:r>
    </w:p>
    <w:p>
      <w:pPr>
        <w:pStyle w:val="Heading1"/>
        <w:keepNext/>
        <w:spacing w:before="320" w:after="120" w:line="276" w:lineRule="auto"/>
      </w:pPr>
      <w:r>
        <w:rPr>
          <w:rFonts w:ascii="Arial" w:hAnsi="Arial"/>
          <w:b/>
          <w:color w:val="1E1E2E"/>
          <w:sz w:val="32"/>
        </w:rPr>
        <w:t>5. Conclusion and Future Scope</w:t>
      </w:r>
    </w:p>
    <w:p>
      <w:pPr>
        <w:spacing w:before="0" w:after="160" w:line="276" w:lineRule="auto"/>
      </w:pPr>
      <w:r>
        <w:rPr>
          <w:color w:val="7238AF"/>
          <w:sz w:val="16"/>
        </w:rPr>
        <w:t>――――――――――――――――――――――――――――――――――――――――――――――――――――――――――</w:t>
      </w:r>
    </w:p>
    <w:p>
      <w:pPr>
        <w:pStyle w:val="Heading2"/>
        <w:keepNext/>
        <w:spacing w:before="240" w:after="80" w:line="276" w:lineRule="auto"/>
      </w:pPr>
      <w:r>
        <w:rPr>
          <w:rFonts w:ascii="Arial" w:hAnsi="Arial"/>
          <w:b/>
          <w:color w:val="1E1E2E"/>
          <w:sz w:val="26"/>
        </w:rPr>
        <w:t>5.1 Conclusion</w:t>
      </w:r>
    </w:p>
    <w:p>
      <w:pPr>
        <w:spacing w:before="0" w:after="120" w:line="276" w:lineRule="auto"/>
      </w:pPr>
      <w:r>
        <w:rPr>
          <w:rFonts w:ascii="Arial" w:hAnsi="Arial"/>
          <w:color w:val="000000"/>
          <w:sz w:val="20"/>
        </w:rPr>
        <w:t>CARE'OS Helix (Module 3) demonstrates that advanced multi-modal deep learning and rule-based pharmacogenomic expert systems can be seamlessly unified into an autonomous, real-time Clinical Decision Support System. By combining Self-Attentive Variational Autoencoding for epistatic SNP compression, cross-attentive multi-modal physiological fusion, Bayesian-optimized XGBoost classification, distribution-free conformal dose regression, and game-theoretic TreeSHAP interpretability, the engine resolves the critical trade-offs between biological fidelity, predictive accuracy, and clinical explainability.</w:t>
        <w:br/>
        <w:br/>
        <w:t>Crucially, the system strictly respects the clinical boundary: all pharmacogenomic outputs are delivered as non-blocking, evidence-backed suggestions for clinician review, preventing clinical disempowerment while safeguarding patients against severe preventable adverse drug events. Full compliance with HL7 FHIR R4 standards and Catppuccin Mocha user-interface principles ensures that Module 3 is immediately ready for deployment in modern outpatient medical centers.</w:t>
      </w:r>
    </w:p>
    <w:p>
      <w:pPr>
        <w:pStyle w:val="Heading2"/>
        <w:keepNext/>
        <w:spacing w:before="240" w:after="80" w:line="276" w:lineRule="auto"/>
      </w:pPr>
      <w:r>
        <w:rPr>
          <w:rFonts w:ascii="Arial" w:hAnsi="Arial"/>
          <w:b/>
          <w:color w:val="1E1E2E"/>
          <w:sz w:val="26"/>
        </w:rPr>
        <w:t>5.2 Future Scope &amp; Research Directions</w:t>
      </w:r>
    </w:p>
    <w:p>
      <w:pPr>
        <w:pStyle w:val="ListBullet"/>
        <w:spacing w:before="0" w:after="80" w:line="276" w:lineRule="auto"/>
      </w:pPr>
      <w:r>
        <w:rPr>
          <w:rFonts w:ascii="Arial" w:hAnsi="Arial"/>
          <w:b/>
          <w:color w:val="1E1E2E"/>
          <w:sz w:val="20"/>
        </w:rPr>
        <w:t xml:space="preserve">Whole-Genome Sequencing (WGS) &amp; Rare Variant Imputation: </w:t>
      </w:r>
      <w:r>
        <w:rPr>
          <w:rFonts w:ascii="Arial" w:hAnsi="Arial"/>
          <w:color w:val="000000"/>
          <w:sz w:val="20"/>
        </w:rPr>
        <w:t>Expand the VAE architecture to ingest whole-genome sequencing (WGS) and long-read Oxford Nanopore data, incorporating graph neural networks (GNNs) to model structural copy number variations (CNVs) and rare star-alleles (*36, *68).</w:t>
      </w:r>
    </w:p>
    <w:p>
      <w:pPr>
        <w:pStyle w:val="ListBullet"/>
        <w:spacing w:before="0" w:after="80" w:line="276" w:lineRule="auto"/>
      </w:pPr>
      <w:r>
        <w:rPr>
          <w:rFonts w:ascii="Arial" w:hAnsi="Arial"/>
          <w:b/>
          <w:color w:val="1E1E2E"/>
          <w:sz w:val="20"/>
        </w:rPr>
        <w:t xml:space="preserve">Dynamic Longitudinal Pharmacokinetic (PK/PD) Modeling: </w:t>
      </w:r>
      <w:r>
        <w:rPr>
          <w:rFonts w:ascii="Arial" w:hAnsi="Arial"/>
          <w:color w:val="000000"/>
          <w:sz w:val="20"/>
        </w:rPr>
        <w:t>Integrate physiologically based pharmacokinetic (PBPK) differential equation solvers (e.g., Simcyp algorithms) into the neural regressor to predict time-concentration clearance curves over 24-hour multi-dose cycles.</w:t>
      </w:r>
    </w:p>
    <w:p>
      <w:pPr>
        <w:pStyle w:val="ListBullet"/>
        <w:spacing w:before="0" w:after="80" w:line="276" w:lineRule="auto"/>
      </w:pPr>
      <w:r>
        <w:rPr>
          <w:rFonts w:ascii="Arial" w:hAnsi="Arial"/>
          <w:b/>
          <w:color w:val="1E1E2E"/>
          <w:sz w:val="20"/>
        </w:rPr>
        <w:t xml:space="preserve">Polypharmacy &amp; Drug-Drug-Gene (DDGI) Interaction Networks: </w:t>
      </w:r>
      <w:r>
        <w:rPr>
          <w:rFonts w:ascii="Arial" w:hAnsi="Arial"/>
          <w:color w:val="000000"/>
          <w:sz w:val="20"/>
        </w:rPr>
        <w:t>Expand the knowledge base to model complex three-way drug-drug-gene interactions (e.g., omeprazole inhibiting CYP2C19 bioactivation of clopidogrel in an intermediate metabolizer carrying ABCB1 variants).</w:t>
      </w:r>
    </w:p>
    <w:p>
      <w:pPr>
        <w:pStyle w:val="ListBullet"/>
        <w:spacing w:before="0" w:after="80" w:line="276" w:lineRule="auto"/>
      </w:pPr>
      <w:r>
        <w:rPr>
          <w:rFonts w:ascii="Arial" w:hAnsi="Arial"/>
          <w:b/>
          <w:color w:val="1E1E2E"/>
          <w:sz w:val="20"/>
        </w:rPr>
        <w:t xml:space="preserve">Multi-Center Prospective Clinical Validation: </w:t>
      </w:r>
      <w:r>
        <w:rPr>
          <w:rFonts w:ascii="Arial" w:hAnsi="Arial"/>
          <w:color w:val="000000"/>
          <w:sz w:val="20"/>
        </w:rPr>
        <w:t>Conduct randomized prospective non-inferiority trials across academic medical centers to evaluate clinician alert override rates, time-to-therapeutic-INR in anticoagulation, and reduction in 30-day post-PCI readmissions.</w:t>
      </w:r>
    </w:p>
    <w:p>
      <w:pPr>
        <w:pStyle w:val="Heading1"/>
        <w:keepNext/>
        <w:spacing w:before="320" w:after="120" w:line="276" w:lineRule="auto"/>
      </w:pPr>
      <w:r>
        <w:rPr>
          <w:rFonts w:ascii="Arial" w:hAnsi="Arial"/>
          <w:b/>
          <w:color w:val="1E1E2E"/>
          <w:sz w:val="32"/>
        </w:rPr>
        <w:t>6. References</w:t>
      </w:r>
    </w:p>
    <w:p>
      <w:pPr>
        <w:spacing w:before="0" w:after="160" w:line="276" w:lineRule="auto"/>
      </w:pPr>
      <w:r>
        <w:rPr>
          <w:color w:val="7238AF"/>
          <w:sz w:val="16"/>
        </w:rPr>
        <w:t>――――――――――――――――――――――――――――――――――――――――――――――――――――――――――</w:t>
      </w:r>
    </w:p>
    <w:p>
      <w:pPr>
        <w:spacing w:before="0" w:after="100" w:line="264" w:lineRule="auto"/>
        <w:ind w:left="720" w:hanging="720"/>
      </w:pPr>
      <w:r>
        <w:rPr>
          <w:rFonts w:ascii="Arial" w:hAnsi="Arial"/>
          <w:color w:val="000000"/>
          <w:sz w:val="17"/>
        </w:rPr>
        <w:t>Angelopoulos, A. N., &amp; Bates, S. (2021). A gentle introduction to conformal prediction and distribution-free uncertainty quantification. arXiv preprint arXiv:2107.07511.</w:t>
      </w:r>
    </w:p>
    <w:p>
      <w:pPr>
        <w:spacing w:before="0" w:after="100" w:line="264" w:lineRule="auto"/>
        <w:ind w:left="720" w:hanging="720"/>
      </w:pPr>
      <w:r>
        <w:rPr>
          <w:rFonts w:ascii="Arial" w:hAnsi="Arial"/>
          <w:color w:val="000000"/>
          <w:sz w:val="17"/>
        </w:rPr>
        <w:t>Baltrušaitis, T., Ahuja, C., &amp; Morency, L. P. (2018). Multimodal machine learning: A survey and taxonomy. IEEE Transactions on Pattern Analysis and Machine Intelligence, 41(2), 423-443.</w:t>
      </w:r>
    </w:p>
    <w:p>
      <w:pPr>
        <w:spacing w:before="0" w:after="100" w:line="264" w:lineRule="auto"/>
        <w:ind w:left="720" w:hanging="720"/>
      </w:pPr>
      <w:r>
        <w:rPr>
          <w:rFonts w:ascii="Arial" w:hAnsi="Arial"/>
          <w:color w:val="000000"/>
          <w:sz w:val="17"/>
        </w:rPr>
        <w:t>Baptista, D., Ferreira, P. G., &amp; Rocha, M. (2021). Deep learning for drug response prediction in cancer: A systematic review. Briefings in Bioinformatics, 22(1), 360-379.</w:t>
      </w:r>
    </w:p>
    <w:p>
      <w:pPr>
        <w:spacing w:before="0" w:after="100" w:line="264" w:lineRule="auto"/>
        <w:ind w:left="720" w:hanging="720"/>
      </w:pPr>
      <w:r>
        <w:rPr>
          <w:rFonts w:ascii="Arial" w:hAnsi="Arial"/>
          <w:color w:val="000000"/>
          <w:sz w:val="17"/>
        </w:rPr>
        <w:t>Bousman, C. A., Stevenson, J. M., Ramsey, L. B., et al. (2023). Clinical Pharmacogenetics Implementation Consortium (CPIC) guideline for CYP2D6, CYP2C19, CYP2B6, SLC6A4, and HTR2A genotypes and serotonin reuptake inhibitor antidepressants. Clinical Pharmacology &amp; Therapeutics, 114(1), 51-68.</w:t>
      </w:r>
    </w:p>
    <w:p>
      <w:pPr>
        <w:spacing w:before="0" w:after="100" w:line="264" w:lineRule="auto"/>
        <w:ind w:left="720" w:hanging="720"/>
      </w:pPr>
      <w:r>
        <w:rPr>
          <w:rFonts w:ascii="Arial" w:hAnsi="Arial"/>
          <w:color w:val="000000"/>
          <w:sz w:val="17"/>
        </w:rPr>
        <w:t>Bowman, S. R., Vilnis, L., Vinyals, O., Dai, A. M., Jozefowicz, R., &amp; Bengio, S. (2016). Generating sentences from a continuous space. In Proceedings of the 20th SIGNLL Conference on Computational Natural Language Learning (CoNLL), 10-21.</w:t>
      </w:r>
    </w:p>
    <w:p>
      <w:pPr>
        <w:spacing w:before="0" w:after="100" w:line="264" w:lineRule="auto"/>
        <w:ind w:left="720" w:hanging="720"/>
      </w:pPr>
      <w:r>
        <w:rPr>
          <w:rFonts w:ascii="Arial" w:hAnsi="Arial"/>
          <w:color w:val="000000"/>
          <w:sz w:val="17"/>
        </w:rPr>
        <w:t>Caudle, K. E., Dunnenberger, H. M., Freimuth, R. R., et al. (2016). Incorporating pharmacogenomics into clinical decision support: Guidelines from the Clinical Pharmacogenetics Implementation Consortium (CPIC). Clinical Pharmacology &amp; Therapeutics, 102(3), 397-402.</w:t>
      </w:r>
    </w:p>
    <w:p>
      <w:pPr>
        <w:spacing w:before="0" w:after="100" w:line="264" w:lineRule="auto"/>
        <w:ind w:left="720" w:hanging="720"/>
      </w:pPr>
      <w:r>
        <w:rPr>
          <w:rFonts w:ascii="Arial" w:hAnsi="Arial"/>
          <w:color w:val="000000"/>
          <w:sz w:val="17"/>
        </w:rPr>
        <w:t>Caudle, K. E., Sangkuhl, K., Whirl-Carrillo, M., et al. (2020). Clinical Pharmacogenetics Implementation Consortium (CPIC) guideline for CYP2D6 and codeine, tramadol, hydrocodone, and oxycodone. Clinical Pharmacology &amp; Therapeutics, 107(4), 798-807.</w:t>
      </w:r>
    </w:p>
    <w:p>
      <w:pPr>
        <w:spacing w:before="0" w:after="100" w:line="264" w:lineRule="auto"/>
        <w:ind w:left="720" w:hanging="720"/>
      </w:pPr>
      <w:r>
        <w:rPr>
          <w:rFonts w:ascii="Arial" w:hAnsi="Arial"/>
          <w:color w:val="000000"/>
          <w:sz w:val="17"/>
        </w:rPr>
        <w:t>Chen, R. J., Lu, M. Y., Weng, W. H., et al. (2021). Multimodal co-attention transformer for survival prediction in gigapixel whole slide images and genomics. In Proceedings of the IEEE/CVF International Conference on Computer Vision (ICCV), 4015-4025.</w:t>
      </w:r>
    </w:p>
    <w:p>
      <w:pPr>
        <w:spacing w:before="0" w:after="100" w:line="264" w:lineRule="auto"/>
        <w:ind w:left="720" w:hanging="720"/>
      </w:pPr>
      <w:r>
        <w:rPr>
          <w:rFonts w:ascii="Arial" w:hAnsi="Arial"/>
          <w:color w:val="000000"/>
          <w:sz w:val="17"/>
        </w:rPr>
        <w:t>Cordell, H. J. (2002). Epistasis: what it means, what it doesn't mean, and statistical methods to detect it in humans. Human Molecular Genetics, 11(20), 2463-2468.</w:t>
      </w:r>
    </w:p>
    <w:p>
      <w:pPr>
        <w:spacing w:before="0" w:after="100" w:line="264" w:lineRule="auto"/>
        <w:ind w:left="720" w:hanging="720"/>
      </w:pPr>
      <w:r>
        <w:rPr>
          <w:rFonts w:ascii="Arial" w:hAnsi="Arial"/>
          <w:color w:val="000000"/>
          <w:sz w:val="17"/>
        </w:rPr>
        <w:t>Crews, K. R., Hicks, J. K., Pui, C. H., Relling, M. V., &amp; Evans, W. E. (2014). Pharmacogenomics and individualized medicine: Translating science into practice. Clinical Pharmacology &amp; Therapeutics, 95(4), 384-398.</w:t>
      </w:r>
    </w:p>
    <w:p>
      <w:pPr>
        <w:spacing w:before="0" w:after="100" w:line="264" w:lineRule="auto"/>
        <w:ind w:left="720" w:hanging="720"/>
      </w:pPr>
      <w:r>
        <w:rPr>
          <w:rFonts w:ascii="Arial" w:hAnsi="Arial"/>
          <w:color w:val="000000"/>
          <w:sz w:val="17"/>
        </w:rPr>
        <w:t>Dunnenberger, H. M., Crews, K. R., Hoffman, J. M., et al. (2015). Preemptive clinical pharmacogenetics implementation: Current programs in five US medical centers. Annual Review of Pharmacology and Toxicology, 55, 89-106.</w:t>
      </w:r>
    </w:p>
    <w:p>
      <w:pPr>
        <w:spacing w:before="0" w:after="100" w:line="264" w:lineRule="auto"/>
        <w:ind w:left="720" w:hanging="720"/>
      </w:pPr>
      <w:r>
        <w:rPr>
          <w:rFonts w:ascii="Arial" w:hAnsi="Arial"/>
          <w:color w:val="000000"/>
          <w:sz w:val="17"/>
        </w:rPr>
        <w:t>Fu, H., Li, C., Liu, X., Gao, J., Celikyilmaz, A., &amp; Carin, L. (2019). Cyclical annealing schedule: A simple approach to mitigating KL vanishing. In Proceedings of the 2019 Conference of the North American Chapter of the Association for Computational Linguistics (NAACL-HLT), 240-250.</w:t>
      </w:r>
    </w:p>
    <w:p>
      <w:pPr>
        <w:spacing w:before="0" w:after="100" w:line="264" w:lineRule="auto"/>
        <w:ind w:left="720" w:hanging="720"/>
      </w:pPr>
      <w:r>
        <w:rPr>
          <w:rFonts w:ascii="Arial" w:hAnsi="Arial"/>
          <w:color w:val="000000"/>
          <w:sz w:val="17"/>
        </w:rPr>
        <w:t>Goodman, B., &amp; Flaxman, S. (2017). European Union regulations on algorithmic decision-making and a 'right to explanation'. AI Magazine, 38(3), 50-57.</w:t>
      </w:r>
    </w:p>
    <w:p>
      <w:pPr>
        <w:spacing w:before="0" w:after="100" w:line="264" w:lineRule="auto"/>
        <w:ind w:left="720" w:hanging="720"/>
      </w:pPr>
      <w:r>
        <w:rPr>
          <w:rFonts w:ascii="Arial" w:hAnsi="Arial"/>
          <w:color w:val="000000"/>
          <w:sz w:val="17"/>
        </w:rPr>
        <w:t>Guyon, I., &amp; Elisseeff, A. (2003). An introduction to variable and feature selection. Journal of Machine Learning Research, 3, 1157-1182.</w:t>
      </w:r>
    </w:p>
    <w:p>
      <w:pPr>
        <w:spacing w:before="0" w:after="100" w:line="264" w:lineRule="auto"/>
        <w:ind w:left="720" w:hanging="720"/>
      </w:pPr>
      <w:r>
        <w:rPr>
          <w:rFonts w:ascii="Arial" w:hAnsi="Arial"/>
          <w:color w:val="000000"/>
          <w:sz w:val="17"/>
        </w:rPr>
        <w:t>Higgins, I., Matthey, L., Pal, A., et al. (2017). beta-VAE: Learning basic visual concepts with a constrained variational framework. In International Conference on Learning Representations (ICLR).</w:t>
      </w:r>
    </w:p>
    <w:p>
      <w:pPr>
        <w:spacing w:before="0" w:after="100" w:line="264" w:lineRule="auto"/>
        <w:ind w:left="720" w:hanging="720"/>
      </w:pPr>
      <w:r>
        <w:rPr>
          <w:rFonts w:ascii="Arial" w:hAnsi="Arial"/>
          <w:color w:val="000000"/>
          <w:sz w:val="17"/>
        </w:rPr>
        <w:t>Huang, K., Xiao, C., Glass, L. M., &amp; Sun, J. (2020). DeepDrug: A general graph convolutional network for drug-drug interaction and drug-target interaction prediction. bioRxiv, 2020-11.</w:t>
      </w:r>
    </w:p>
    <w:p>
      <w:pPr>
        <w:spacing w:before="0" w:after="100" w:line="264" w:lineRule="auto"/>
        <w:ind w:left="720" w:hanging="720"/>
      </w:pPr>
      <w:r>
        <w:rPr>
          <w:rFonts w:ascii="Arial" w:hAnsi="Arial"/>
          <w:color w:val="000000"/>
          <w:sz w:val="17"/>
        </w:rPr>
        <w:t>Johnson, J. A., Caudle, K. E., Gong, L., et al. (2017). Clinical Pharmacogenetics Implementation Consortium (CPIC) guideline for pharmacogenetics-guided warfarin dosing: 2017 update. Clinical Pharmacology &amp; Therapeutics, 102(3), 397-404.</w:t>
      </w:r>
    </w:p>
    <w:p>
      <w:pPr>
        <w:spacing w:before="0" w:after="100" w:line="264" w:lineRule="auto"/>
        <w:ind w:left="720" w:hanging="720"/>
      </w:pPr>
      <w:r>
        <w:rPr>
          <w:rFonts w:ascii="Arial" w:hAnsi="Arial"/>
          <w:color w:val="000000"/>
          <w:sz w:val="17"/>
        </w:rPr>
        <w:t>Kingma, D. P., &amp; Welling, M. (2013). Auto-encoding variational Bayes. In International Conference on Learning Representations (ICLR).</w:t>
      </w:r>
    </w:p>
    <w:p>
      <w:pPr>
        <w:spacing w:before="0" w:after="100" w:line="264" w:lineRule="auto"/>
        <w:ind w:left="720" w:hanging="720"/>
      </w:pPr>
      <w:r>
        <w:rPr>
          <w:rFonts w:ascii="Arial" w:hAnsi="Arial"/>
          <w:color w:val="000000"/>
          <w:sz w:val="17"/>
        </w:rPr>
        <w:t>Klein, T. E., Altman, R. B., Eriksson, N., et al. (2009). Estimation of the warfarin dose with clinical and pharmacogenetic data. New England Journal of Medicine, 360(8), 753-764. (Kaggle Warfarin Benchmark: https://www.kaggle.com/datasets/thedevastator/warfarin-dosing-dataset).</w:t>
      </w:r>
    </w:p>
    <w:p>
      <w:pPr>
        <w:spacing w:before="0" w:after="100" w:line="264" w:lineRule="auto"/>
        <w:ind w:left="720" w:hanging="720"/>
      </w:pPr>
      <w:r>
        <w:rPr>
          <w:rFonts w:ascii="Arial" w:hAnsi="Arial"/>
          <w:color w:val="000000"/>
          <w:sz w:val="17"/>
        </w:rPr>
        <w:t>Kline, A., Wang, H., Li, Y., et al. (2022). Multimodal machine learning in healthcare: A systematic review. npj Digital Medicine, 5(1), 171.</w:t>
      </w:r>
    </w:p>
    <w:p>
      <w:pPr>
        <w:spacing w:before="0" w:after="100" w:line="264" w:lineRule="auto"/>
        <w:ind w:left="720" w:hanging="720"/>
      </w:pPr>
      <w:r>
        <w:rPr>
          <w:rFonts w:ascii="Arial" w:hAnsi="Arial"/>
          <w:color w:val="000000"/>
          <w:sz w:val="17"/>
        </w:rPr>
        <w:t>Lundberg, S. M., &amp; Lee, S. I. (2017). A unified approach to interpreting model predictions. In Advances in Neural Information Processing Systems (NeurIPS 30), 4765-4774.</w:t>
      </w:r>
    </w:p>
    <w:p>
      <w:pPr>
        <w:spacing w:before="0" w:after="100" w:line="264" w:lineRule="auto"/>
        <w:ind w:left="720" w:hanging="720"/>
      </w:pPr>
      <w:r>
        <w:rPr>
          <w:rFonts w:ascii="Arial" w:hAnsi="Arial"/>
          <w:color w:val="000000"/>
          <w:sz w:val="17"/>
        </w:rPr>
        <w:t>Lundberg, S. M., Erion, G., Chen, H., et al. (2020). From local explanations to global understanding with explainable AI for trees. Nature Machine Intelligence, 2(1), 56-67.</w:t>
      </w:r>
    </w:p>
    <w:p>
      <w:pPr>
        <w:spacing w:before="0" w:after="100" w:line="264" w:lineRule="auto"/>
        <w:ind w:left="720" w:hanging="720"/>
      </w:pPr>
      <w:r>
        <w:rPr>
          <w:rFonts w:ascii="Arial" w:hAnsi="Arial"/>
          <w:color w:val="000000"/>
          <w:sz w:val="17"/>
        </w:rPr>
        <w:t>Mega, J. L., Close, S. L., Wiviott, S. D., et al. (2009). Cytochrome P-450 polymorphisms and response to clopidogrel. New England Journal of Medicine, 360(4), 354-362.</w:t>
      </w:r>
    </w:p>
    <w:p>
      <w:pPr>
        <w:spacing w:before="0" w:after="100" w:line="264" w:lineRule="auto"/>
        <w:ind w:left="720" w:hanging="720"/>
      </w:pPr>
      <w:r>
        <w:rPr>
          <w:rFonts w:ascii="Arial" w:hAnsi="Arial"/>
          <w:color w:val="000000"/>
          <w:sz w:val="17"/>
        </w:rPr>
        <w:t>Menden, M. P., Wang, D., Guan, Y., et al. (2019). Community assessment to advance computational methods to predict cancer pharmacogenomics in a cell-line panel. Nature Communications, 10(1), 2674.</w:t>
      </w:r>
    </w:p>
    <w:p>
      <w:pPr>
        <w:spacing w:before="0" w:after="100" w:line="264" w:lineRule="auto"/>
        <w:ind w:left="720" w:hanging="720"/>
      </w:pPr>
      <w:r>
        <w:rPr>
          <w:rFonts w:ascii="Arial" w:hAnsi="Arial"/>
          <w:color w:val="000000"/>
          <w:sz w:val="17"/>
        </w:rPr>
        <w:t>Moore, J. H., Asselbergs, F. W., &amp; Williams, S. M. (2010). Bioinformatics challenges for genome-wide association studies. Bioinformatics, 26(4), 445-455.</w:t>
      </w:r>
    </w:p>
    <w:p>
      <w:pPr>
        <w:spacing w:before="0" w:after="100" w:line="264" w:lineRule="auto"/>
        <w:ind w:left="720" w:hanging="720"/>
      </w:pPr>
      <w:r>
        <w:rPr>
          <w:rFonts w:ascii="Arial" w:hAnsi="Arial"/>
          <w:color w:val="000000"/>
          <w:sz w:val="17"/>
        </w:rPr>
        <w:t>Pirmohamed, M., James, S., Meakin, S., et al. (2004). Adverse drug reactions as cause of admission to hospital: prospective analysis of 18,820 patients. British Medical Journal, 329(7456), 15-19.</w:t>
      </w:r>
    </w:p>
    <w:p>
      <w:pPr>
        <w:spacing w:before="0" w:after="100" w:line="264" w:lineRule="auto"/>
        <w:ind w:left="720" w:hanging="720"/>
      </w:pPr>
      <w:r>
        <w:rPr>
          <w:rFonts w:ascii="Arial" w:hAnsi="Arial"/>
          <w:color w:val="000000"/>
          <w:sz w:val="17"/>
        </w:rPr>
        <w:t>Relling, M. V., &amp; Evans, W. E. (2015). Pharmacogenomics in the clinic. Nature, 526(7573), 343-350.</w:t>
      </w:r>
    </w:p>
    <w:p>
      <w:pPr>
        <w:spacing w:before="0" w:after="100" w:line="264" w:lineRule="auto"/>
        <w:ind w:left="720" w:hanging="720"/>
      </w:pPr>
      <w:r>
        <w:rPr>
          <w:rFonts w:ascii="Arial" w:hAnsi="Arial"/>
          <w:color w:val="000000"/>
          <w:sz w:val="17"/>
        </w:rPr>
        <w:t>Relling, M. V., &amp; Klein, T. E. (2011). CPIC: Clinical Pharmacogenetics Implementation Consortium of the Pharmacogenomics Research Network. Clinical Pharmacology &amp; Therapeutics, 89(3), 464-467.</w:t>
      </w:r>
    </w:p>
    <w:p>
      <w:pPr>
        <w:spacing w:before="0" w:after="100" w:line="264" w:lineRule="auto"/>
        <w:ind w:left="720" w:hanging="720"/>
      </w:pPr>
      <w:r>
        <w:rPr>
          <w:rFonts w:ascii="Arial" w:hAnsi="Arial"/>
          <w:color w:val="000000"/>
          <w:sz w:val="17"/>
        </w:rPr>
        <w:t>Rodrigues, D. A., Rocha, B. S., &amp; Silva, A. M. (2022). Preventability of adverse drug reactions in hospitalized patients: A systematic review and meta-analysis. Annals of Pharmacotherapy, 56(8), 920-931.</w:t>
      </w:r>
    </w:p>
    <w:p>
      <w:pPr>
        <w:spacing w:before="0" w:after="100" w:line="264" w:lineRule="auto"/>
        <w:ind w:left="720" w:hanging="720"/>
      </w:pPr>
      <w:r>
        <w:rPr>
          <w:rFonts w:ascii="Arial" w:hAnsi="Arial"/>
          <w:color w:val="000000"/>
          <w:sz w:val="17"/>
        </w:rPr>
        <w:t>Scott, S. A., Sangkuhl, K., Stein, C. M., et al. (2013). Clinical Pharmacogenetics Implementation Consortium (CPIC) guidelines for CYP2C19 genotype and clopidogrel therapy: 2013 update. Clinical Pharmacology &amp; Therapeutics, 94(3), 317-323.</w:t>
      </w:r>
    </w:p>
    <w:p>
      <w:pPr>
        <w:spacing w:before="0" w:after="100" w:line="264" w:lineRule="auto"/>
        <w:ind w:left="720" w:hanging="720"/>
      </w:pPr>
      <w:r>
        <w:rPr>
          <w:rFonts w:ascii="Arial" w:hAnsi="Arial"/>
          <w:color w:val="000000"/>
          <w:sz w:val="17"/>
        </w:rPr>
        <w:t>Swen, J. J., Nijenhuis, M., de Boer, A., et al. (2011). Pharmacogenetics: From bench to byte—an update of guidelines. Clinical Pharmacology &amp; Therapeutics, 89(5), 662-673.</w:t>
      </w:r>
    </w:p>
    <w:p>
      <w:pPr>
        <w:spacing w:before="0" w:after="100" w:line="264" w:lineRule="auto"/>
        <w:ind w:left="720" w:hanging="720"/>
      </w:pPr>
      <w:r>
        <w:rPr>
          <w:rFonts w:ascii="Arial" w:hAnsi="Arial"/>
          <w:color w:val="000000"/>
          <w:sz w:val="17"/>
        </w:rPr>
        <w:t>Van Driest, S. L., Shi, Y., Bowton, E. A., et al. (2022). Clinician response to pharmacogenomic clinical decision support alerts in routine inpatient and outpatient care. Journal of the American Medical Informatics Association, 29(5), 894-902.</w:t>
      </w:r>
    </w:p>
    <w:p>
      <w:pPr>
        <w:spacing w:before="0" w:after="100" w:line="264" w:lineRule="auto"/>
        <w:ind w:left="720" w:hanging="720"/>
      </w:pPr>
      <w:r>
        <w:rPr>
          <w:rFonts w:ascii="Arial" w:hAnsi="Arial"/>
          <w:color w:val="000000"/>
          <w:sz w:val="17"/>
        </w:rPr>
        <w:t>Vaswani, A., Shazeer, N., Parmar, N., et al. (2017). Attention is all you need. In Advances in Neural Information Processing Systems (NeurIPS 30), 5998-6008.</w:t>
      </w:r>
    </w:p>
    <w:p>
      <w:pPr>
        <w:spacing w:before="0" w:after="100" w:line="264" w:lineRule="auto"/>
        <w:ind w:left="720" w:hanging="720"/>
      </w:pPr>
      <w:r>
        <w:rPr>
          <w:rFonts w:ascii="Arial" w:hAnsi="Arial"/>
          <w:color w:val="000000"/>
          <w:sz w:val="17"/>
        </w:rPr>
        <w:t>Vovk, V., Gammerman, A., &amp; Shafer, G. (2005). Algorithmic Learning in a Random World. Springer Science &amp; Business Media.</w:t>
      </w:r>
    </w:p>
    <w:p>
      <w:pPr>
        <w:spacing w:before="0" w:after="100" w:line="264" w:lineRule="auto"/>
        <w:ind w:left="720" w:hanging="720"/>
      </w:pPr>
      <w:r>
        <w:rPr>
          <w:rFonts w:ascii="Arial" w:hAnsi="Arial"/>
          <w:color w:val="000000"/>
          <w:sz w:val="17"/>
        </w:rPr>
        <w:t>Way, G. P., &amp; Greene, C. S. (2018). Extracting a biologically relevant latent space from cancer transcriptomes with variational autoencoders. In Biocomputing 2018: Proceedings of the Pacific Symposium, 80-91.</w:t>
      </w:r>
    </w:p>
    <w:p>
      <w:pPr>
        <w:spacing w:before="0" w:after="100" w:line="264" w:lineRule="auto"/>
        <w:ind w:left="720" w:hanging="720"/>
      </w:pPr>
      <w:r>
        <w:rPr>
          <w:rFonts w:ascii="Arial" w:hAnsi="Arial"/>
          <w:color w:val="000000"/>
          <w:sz w:val="17"/>
        </w:rPr>
        <w:t>Whirl-Carrillo, M., Huddart, R., Gong, L., et al. (2021). An evidence-based framework for evaluating pharmacogenomics: Translating genotype to phenotype in PharmGKB. Clinical Pharmacology &amp; Therapeutics, 110(3), 563-572.</w:t>
      </w:r>
    </w:p>
    <w:p>
      <w:pPr>
        <w:spacing w:before="0" w:after="100" w:line="264" w:lineRule="auto"/>
        <w:ind w:left="720" w:hanging="720"/>
      </w:pPr>
      <w:r>
        <w:rPr>
          <w:rFonts w:ascii="Arial" w:hAnsi="Arial"/>
          <w:color w:val="000000"/>
          <w:sz w:val="17"/>
        </w:rPr>
        <w:t>Zanger, U. M., &amp; Schwab, M. (2013). Cytochrome P450 enzymes in drug metabolism: Regulation of gene expression, enzyme activities, and impact of genetic variation. Pharmacology &amp; Therapeutics, 138(1), 103-141.</w:t>
      </w:r>
    </w:p>
    <w:p>
      <w:pPr>
        <w:spacing w:before="0" w:after="100" w:line="264" w:lineRule="auto"/>
        <w:ind w:left="720" w:hanging="720"/>
      </w:pPr>
      <w:r>
        <w:rPr>
          <w:rFonts w:ascii="Arial" w:hAnsi="Arial"/>
          <w:color w:val="000000"/>
          <w:sz w:val="17"/>
        </w:rPr>
        <w:t>Zhang, D., Huang, C., Yang, J., et al. (2020). Multi-modal deep learning for precision oncology: Integrating genomics, pathology, and clinical text. IEEE Transactions on Biomedical Engineering, 67(12), 3412-3423.</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73"/>
        <w:sz w:val="16"/>
      </w:rPr>
      <w:t>Confidential — Department of Clinical Informatics &amp; Genomic Medicine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73"/>
        <w:sz w:val="16"/>
      </w:rPr>
      <w:t>CARE'OS Helix: Module 3 — Technical Research Report | Catppuccin Academic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