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Agenda de kickoff</w:t>
      </w:r>
    </w:p>
    <w:p>
      <w:pPr>
        <w:spacing w:after="160"/>
      </w:pPr>
      <w:r>
        <w:rPr>
          <w:rFonts w:ascii="Arial" w:hAnsi="Arial"/>
          <w:b w:val="0"/>
          <w:color w:val="4B5563"/>
          <w:sz w:val="20"/>
        </w:rPr>
        <w:t>Prepare la reunión de inicio con objetivos, participantes, temas, responsables y resultados esperados.</w:t>
      </w:r>
    </w:p>
    <w:p>
      <w:pPr>
        <w:pStyle w:val="Heading1"/>
        <w:spacing w:before="160" w:after="80"/>
      </w:pPr>
      <w:r>
        <w:t>Información de la sesión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Proyecto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Fecha y hora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Project Manager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Sponsor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Lugar o enlace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  <w:tc>
          <w:tcPr>
            <w:tcW w:type="dxa" w:w="1728"/>
            <w:shd w:fill="F5F3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4C1D95"/>
                <w:sz w:val="16"/>
              </w:rPr>
              <w:t>Duración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</w:tc>
      </w:tr>
    </w:tbl>
    <w:p>
      <w:pPr>
        <w:pStyle w:val="Heading1"/>
        <w:spacing w:before="160" w:after="80"/>
      </w:pPr>
      <w:r>
        <w:t>Objetivos de la reunión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/>
        </w:trPr>
        <w:tc>
          <w:tcPr>
            <w:tcW w:type="dxa" w:w="79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N°</w:t>
            </w:r>
          </w:p>
        </w:tc>
        <w:tc>
          <w:tcPr>
            <w:tcW w:type="dxa" w:w="4608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5400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46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</w:tbl>
    <w:p>
      <w:pPr>
        <w:pStyle w:val="Heading1"/>
        <w:spacing w:before="160" w:after="80"/>
      </w:pPr>
      <w:r>
        <w:t>Agenda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/>
        </w:trPr>
        <w:tc>
          <w:tcPr>
            <w:tcW w:type="dxa" w:w="1296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Hora</w:t>
            </w:r>
          </w:p>
        </w:tc>
        <w:tc>
          <w:tcPr>
            <w:tcW w:type="dxa" w:w="3384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223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296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259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</w:tbl>
    <w:p>
      <w:pPr>
        <w:pStyle w:val="Heading1"/>
        <w:spacing w:before="160" w:after="80"/>
      </w:pPr>
      <w:r>
        <w:t>Preparación requerida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/>
        </w:trPr>
        <w:tc>
          <w:tcPr>
            <w:tcW w:type="dxa" w:w="4320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Material o decisión</w:t>
            </w:r>
          </w:p>
        </w:tc>
        <w:tc>
          <w:tcPr>
            <w:tcW w:type="dxa" w:w="2448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87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 límite</w:t>
            </w:r>
          </w:p>
        </w:tc>
        <w:tc>
          <w:tcPr>
            <w:tcW w:type="dxa" w:w="1872"/>
            <w:shd w:fill="4C1D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/>
        </w:tc>
      </w:tr>
      <w:tr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AFAFA"/>
          </w:tcPr>
          <w:p/>
        </w:tc>
      </w:tr>
    </w:tbl>
    <w:sectPr w:rsidR="00FC693F" w:rsidRPr="0006063C" w:rsidSect="00034616">
      <w:footerReference w:type="default" r:id="rId9"/>
      <w:pgSz w:w="12240" w:h="15840"/>
      <w:pgMar w:top="835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6B7280"/>
        <w:sz w:val="16"/>
      </w:rPr>
      <w:t>Morris &amp; Opazo  |  PMO Framework Hub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