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comunicación</w:t>
      </w:r>
    </w:p>
    <w:p>
      <w:pPr>
        <w:spacing w:after="160"/>
      </w:pPr>
      <w:r>
        <w:rPr>
          <w:rFonts w:ascii="Arial" w:hAnsi="Arial"/>
          <w:b w:val="0"/>
          <w:color w:val="4B5563"/>
          <w:sz w:val="20"/>
        </w:rPr>
        <w:t>Use esta plantilla para definir qué información se comunica, a quién, por qué canal y con qué frecuencia.</w:t>
      </w:r>
    </w:p>
    <w:p>
      <w:pPr>
        <w:pStyle w:val="Heading1"/>
        <w:spacing w:before="160" w:after="80"/>
      </w:pPr>
      <w:r>
        <w:t>Información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Proyecto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Project Manager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Cliente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Fecha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Versión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Sponsor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  <w:spacing w:before="160" w:after="80"/>
      </w:pPr>
      <w:r>
        <w:t>Matriz de comunicación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/>
        </w:trPr>
        <w:tc>
          <w:tcPr>
            <w:tcW w:type="dxa" w:w="1728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Audiencia</w:t>
            </w:r>
          </w:p>
        </w:tc>
        <w:tc>
          <w:tcPr>
            <w:tcW w:type="dxa" w:w="2376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Información</w:t>
            </w:r>
          </w:p>
        </w:tc>
        <w:tc>
          <w:tcPr>
            <w:tcW w:type="dxa" w:w="2088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144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Canal</w:t>
            </w:r>
          </w:p>
        </w:tc>
        <w:tc>
          <w:tcPr>
            <w:tcW w:type="dxa" w:w="144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728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</w:tbl>
    <w:p>
      <w:pPr>
        <w:pStyle w:val="Heading1"/>
        <w:spacing w:before="160" w:after="80"/>
      </w:pPr>
      <w:r>
        <w:t>Seguimiento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/>
        </w:trPr>
        <w:tc>
          <w:tcPr>
            <w:tcW w:type="dxa" w:w="1728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74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Comunicación realizada</w:t>
            </w:r>
          </w:p>
        </w:tc>
        <w:tc>
          <w:tcPr>
            <w:tcW w:type="dxa" w:w="230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Destinatarios</w:t>
            </w:r>
          </w:p>
        </w:tc>
        <w:tc>
          <w:tcPr>
            <w:tcW w:type="dxa" w:w="302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Resultado o acción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</w:tbl>
    <w:sectPr w:rsidR="00FC693F" w:rsidRPr="0006063C" w:rsidSect="00034616">
      <w:footerReference w:type="default" r:id="rId9"/>
      <w:pgSz w:w="12240" w:h="15840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B7280"/>
        <w:sz w:val="16"/>
      </w:rPr>
      <w:t>Morris &amp; Opazo  |  PMO Framework Hub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