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semanal del proyecto</w:t>
      </w:r>
    </w:p>
    <w:p>
      <w:pPr>
        <w:spacing w:after="160"/>
      </w:pPr>
      <w:r>
        <w:rPr>
          <w:rFonts w:ascii="Arial" w:hAnsi="Arial"/>
          <w:b w:val="0"/>
          <w:color w:val="4B5563"/>
          <w:sz w:val="20"/>
        </w:rPr>
        <w:t>Actualice este documento cada semana para informar avance, desviaciones, riesgos y decisiones requeridas.</w:t>
      </w:r>
    </w:p>
    <w:p>
      <w:pPr>
        <w:pStyle w:val="Heading1"/>
        <w:spacing w:before="160" w:after="80"/>
      </w:pPr>
      <w:r>
        <w:t>Datos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Proyecto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Semana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Project Manager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Estado general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Avance plan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Avance real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  <w:spacing w:before="160" w:after="80"/>
      </w:pPr>
      <w:r>
        <w:t>Resumen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/>
        </w:trPr>
        <w:tc>
          <w:tcPr>
            <w:tcW w:type="dxa" w:w="273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Logros del período</w:t>
            </w:r>
          </w:p>
        </w:tc>
        <w:tc>
          <w:tcPr>
            <w:tcW w:type="dxa" w:w="273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Desviaciones</w:t>
            </w:r>
          </w:p>
        </w:tc>
        <w:tc>
          <w:tcPr>
            <w:tcW w:type="dxa" w:w="273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Próximas actividades</w:t>
            </w:r>
          </w:p>
        </w:tc>
        <w:tc>
          <w:tcPr>
            <w:tcW w:type="dxa" w:w="273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Decisiones requeridas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</w:tbl>
    <w:p>
      <w:pPr>
        <w:pStyle w:val="Heading1"/>
        <w:spacing w:before="160" w:after="80"/>
      </w:pPr>
      <w:r>
        <w:t>Riesgos y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79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Riesgo o issue</w:t>
            </w:r>
          </w:p>
        </w:tc>
        <w:tc>
          <w:tcPr>
            <w:tcW w:type="dxa" w:w="151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52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80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29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</w:tbl>
    <w:p>
      <w:pPr>
        <w:pStyle w:val="Heading1"/>
        <w:spacing w:before="160" w:after="80"/>
      </w:pPr>
      <w:r>
        <w:t>Hitos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/>
        </w:trPr>
        <w:tc>
          <w:tcPr>
            <w:tcW w:type="dxa" w:w="302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Hito</w:t>
            </w:r>
          </w:p>
        </w:tc>
        <w:tc>
          <w:tcPr>
            <w:tcW w:type="dxa" w:w="158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 plan</w:t>
            </w:r>
          </w:p>
        </w:tc>
        <w:tc>
          <w:tcPr>
            <w:tcW w:type="dxa" w:w="158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 actual</w:t>
            </w:r>
          </w:p>
        </w:tc>
        <w:tc>
          <w:tcPr>
            <w:tcW w:type="dxa" w:w="151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24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</w:tbl>
    <w:sectPr w:rsidR="00FC693F" w:rsidRPr="0006063C" w:rsidSect="00034616">
      <w:footerReference w:type="default" r:id="rId9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B7280"/>
        <w:sz w:val="16"/>
      </w:rPr>
      <w:t>Morris &amp; Opazo  |  PMO Framework Hub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