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9443D" w14:textId="2B5075E7" w:rsidR="00F11FB3" w:rsidRDefault="00F11FB3">
      <w:pPr>
        <w:widowControl/>
        <w:jc w:val="left"/>
        <w:rPr>
          <w:rFonts w:hint="eastAsia"/>
        </w:rPr>
      </w:pPr>
    </w:p>
    <w:p w14:paraId="4B8BA629" w14:textId="09EFB987" w:rsidR="00F11FB3" w:rsidRPr="00542D46" w:rsidRDefault="00F11FB3" w:rsidP="00F11FB3">
      <w:pPr>
        <w:spacing w:line="288" w:lineRule="auto"/>
        <w:jc w:val="center"/>
        <w:rPr>
          <w:rFonts w:cs="Times New Roman" w:hint="eastAsia"/>
          <w:b/>
          <w:bCs/>
          <w:sz w:val="32"/>
          <w:szCs w:val="32"/>
        </w:rPr>
      </w:pPr>
      <w:r>
        <w:rPr>
          <w:rFonts w:cs="Times New Roman" w:hint="eastAsia"/>
          <w:b/>
          <w:bCs/>
          <w:sz w:val="32"/>
          <w:szCs w:val="32"/>
        </w:rPr>
        <w:t>PyROEX</w:t>
      </w:r>
      <w:r w:rsidR="00A54A12">
        <w:rPr>
          <w:rFonts w:cs="Times New Roman" w:hint="eastAsia"/>
          <w:b/>
          <w:bCs/>
          <w:sz w:val="32"/>
          <w:szCs w:val="32"/>
        </w:rPr>
        <w:t>软件用户手册</w:t>
      </w:r>
    </w:p>
    <w:p w14:paraId="4772501B" w14:textId="77777777" w:rsidR="00F11FB3" w:rsidRPr="00542D46" w:rsidRDefault="00F11FB3" w:rsidP="00F11FB3">
      <w:pPr>
        <w:spacing w:line="288" w:lineRule="auto"/>
        <w:jc w:val="center"/>
        <w:rPr>
          <w:rFonts w:cs="Times New Roman" w:hint="eastAsia"/>
          <w:b/>
          <w:bCs/>
          <w:sz w:val="32"/>
          <w:szCs w:val="32"/>
        </w:rPr>
      </w:pPr>
      <w:r w:rsidRPr="00542D46">
        <w:rPr>
          <w:rFonts w:cs="Times New Roman"/>
          <w:b/>
          <w:bCs/>
          <w:sz w:val="32"/>
          <w:szCs w:val="32"/>
        </w:rPr>
        <w:t>V1.0</w:t>
      </w:r>
    </w:p>
    <w:p w14:paraId="0777F427" w14:textId="77777777" w:rsidR="00F11FB3" w:rsidRPr="00542D46" w:rsidRDefault="00F11FB3" w:rsidP="00F11FB3">
      <w:pPr>
        <w:spacing w:line="288" w:lineRule="auto"/>
        <w:rPr>
          <w:rFonts w:cs="Times New Roman" w:hint="eastAsia"/>
          <w:b/>
          <w:bCs/>
          <w:sz w:val="32"/>
          <w:szCs w:val="32"/>
        </w:rPr>
      </w:pPr>
    </w:p>
    <w:p w14:paraId="1FDE3591" w14:textId="77777777" w:rsidR="00F11FB3" w:rsidRPr="00542D46" w:rsidRDefault="00F11FB3" w:rsidP="00F11FB3">
      <w:pPr>
        <w:spacing w:line="288" w:lineRule="auto"/>
        <w:rPr>
          <w:rFonts w:cs="Times New Roman" w:hint="eastAsia"/>
          <w:b/>
          <w:bCs/>
          <w:sz w:val="32"/>
          <w:szCs w:val="32"/>
        </w:rPr>
      </w:pPr>
    </w:p>
    <w:p w14:paraId="2AB9B466" w14:textId="77777777" w:rsidR="00F11FB3" w:rsidRPr="00542D46" w:rsidRDefault="00F11FB3" w:rsidP="00F11FB3">
      <w:pPr>
        <w:spacing w:line="288" w:lineRule="auto"/>
        <w:rPr>
          <w:rFonts w:cs="Times New Roman" w:hint="eastAsia"/>
          <w:b/>
          <w:bCs/>
          <w:sz w:val="32"/>
          <w:szCs w:val="32"/>
        </w:rPr>
      </w:pPr>
    </w:p>
    <w:p w14:paraId="314A73CA" w14:textId="77777777" w:rsidR="00F11FB3" w:rsidRPr="00542D46" w:rsidRDefault="00F11FB3" w:rsidP="00F11FB3">
      <w:pPr>
        <w:spacing w:line="288" w:lineRule="auto"/>
        <w:rPr>
          <w:rFonts w:cs="Times New Roman" w:hint="eastAsia"/>
          <w:b/>
          <w:bCs/>
          <w:sz w:val="32"/>
          <w:szCs w:val="32"/>
        </w:rPr>
      </w:pPr>
    </w:p>
    <w:p w14:paraId="1048D1D8" w14:textId="77777777" w:rsidR="00F11FB3" w:rsidRPr="00542D46" w:rsidRDefault="00F11FB3" w:rsidP="00F11FB3">
      <w:pPr>
        <w:spacing w:line="288" w:lineRule="auto"/>
        <w:rPr>
          <w:rFonts w:cs="Times New Roman" w:hint="eastAsia"/>
          <w:b/>
          <w:bCs/>
          <w:sz w:val="32"/>
          <w:szCs w:val="32"/>
        </w:rPr>
      </w:pPr>
    </w:p>
    <w:p w14:paraId="54A70D8E" w14:textId="53143389" w:rsidR="00F11FB3" w:rsidRPr="00542D46" w:rsidRDefault="00A54A12" w:rsidP="00F11FB3">
      <w:pPr>
        <w:spacing w:line="360" w:lineRule="auto"/>
        <w:rPr>
          <w:rFonts w:cs="Times New Roman" w:hint="eastAsia"/>
        </w:rPr>
      </w:pPr>
      <w:r>
        <w:rPr>
          <w:rFonts w:cs="Times New Roman" w:hint="eastAsia"/>
        </w:rPr>
        <w:t>软件：</w:t>
      </w:r>
      <w:r w:rsidRPr="00A54A12">
        <w:rPr>
          <w:rFonts w:hint="eastAsia"/>
          <w:b/>
          <w:bCs/>
        </w:rPr>
        <w:t>基于python的ROEX文件数据分析软件</w:t>
      </w:r>
      <w:r w:rsidR="00F11FB3">
        <w:rPr>
          <w:rFonts w:hint="eastAsia"/>
        </w:rPr>
        <w:t xml:space="preserve"> (PyROEX)</w:t>
      </w:r>
    </w:p>
    <w:p w14:paraId="27BFE25F" w14:textId="02A0BF64" w:rsidR="00F11FB3" w:rsidRPr="00542D46" w:rsidRDefault="00A54A12" w:rsidP="00F11FB3">
      <w:pPr>
        <w:spacing w:line="360" w:lineRule="auto"/>
        <w:rPr>
          <w:rFonts w:cs="Times New Roman" w:hint="eastAsia"/>
        </w:rPr>
      </w:pPr>
      <w:r>
        <w:rPr>
          <w:rFonts w:cs="Times New Roman" w:hint="eastAsia"/>
        </w:rPr>
        <w:t>开发人员：张名艺</w:t>
      </w:r>
    </w:p>
    <w:p w14:paraId="075C0B91" w14:textId="7627492A" w:rsidR="00F11FB3" w:rsidRPr="00542D46" w:rsidRDefault="00A54A12" w:rsidP="00F11FB3">
      <w:pPr>
        <w:spacing w:line="360" w:lineRule="auto"/>
        <w:rPr>
          <w:rFonts w:cs="Times New Roman" w:hint="eastAsia"/>
        </w:rPr>
      </w:pPr>
      <w:r>
        <w:rPr>
          <w:rFonts w:cs="Times New Roman" w:hint="eastAsia"/>
        </w:rPr>
        <w:t>地址：</w:t>
      </w:r>
      <w:r w:rsidR="00F11FB3" w:rsidRPr="00542D46">
        <w:rPr>
          <w:rFonts w:cs="Times New Roman"/>
        </w:rPr>
        <w:t xml:space="preserve"> </w:t>
      </w:r>
      <w:r w:rsidRPr="00A54A12">
        <w:rPr>
          <w:rFonts w:hint="eastAsia"/>
        </w:rPr>
        <w:t>中关村南二条一号</w:t>
      </w:r>
      <w:r>
        <w:rPr>
          <w:rFonts w:hint="eastAsia"/>
        </w:rPr>
        <w:t>，海淀区，北京</w:t>
      </w:r>
      <w:r w:rsidRPr="003F65FC">
        <w:t>100190</w:t>
      </w:r>
      <w:r>
        <w:rPr>
          <w:rFonts w:hint="eastAsia"/>
        </w:rPr>
        <w:t>，中国</w:t>
      </w:r>
    </w:p>
    <w:p w14:paraId="71345DDD" w14:textId="2D0CA0BD" w:rsidR="00F11FB3" w:rsidRPr="00542D46" w:rsidRDefault="00F11FB3" w:rsidP="00F11FB3">
      <w:pPr>
        <w:spacing w:line="360" w:lineRule="auto"/>
        <w:rPr>
          <w:rFonts w:cs="Times New Roman" w:hint="eastAsia"/>
          <w:color w:val="000000" w:themeColor="text1"/>
        </w:rPr>
      </w:pPr>
      <w:r w:rsidRPr="00542D46">
        <w:rPr>
          <w:rFonts w:cs="Times New Roman"/>
          <w:color w:val="000000" w:themeColor="text1"/>
        </w:rPr>
        <w:t>E-mail:</w:t>
      </w:r>
      <w:r w:rsidR="00A54A12" w:rsidRPr="00A54A12">
        <w:t xml:space="preserve"> </w:t>
      </w:r>
      <w:hyperlink r:id="rId7" w:history="1">
        <w:r w:rsidR="00A54A12" w:rsidRPr="001A72D1">
          <w:rPr>
            <w:rStyle w:val="ae"/>
            <w:rFonts w:hint="eastAsia"/>
          </w:rPr>
          <w:t>zhangmingyi24@mails.ucas.ac.cn</w:t>
        </w:r>
      </w:hyperlink>
    </w:p>
    <w:p w14:paraId="0101DD3A" w14:textId="77777777" w:rsidR="00F11FB3" w:rsidRPr="00542D46" w:rsidRDefault="00F11FB3" w:rsidP="00F11FB3">
      <w:pPr>
        <w:spacing w:line="288" w:lineRule="auto"/>
        <w:rPr>
          <w:rFonts w:cs="Times New Roman" w:hint="eastAsia"/>
        </w:rPr>
      </w:pPr>
    </w:p>
    <w:p w14:paraId="3F90A9F3" w14:textId="77777777" w:rsidR="00F11FB3" w:rsidRPr="00542D46" w:rsidRDefault="00F11FB3" w:rsidP="00F11FB3">
      <w:pPr>
        <w:spacing w:line="288" w:lineRule="auto"/>
        <w:rPr>
          <w:rFonts w:cs="Times New Roman" w:hint="eastAsia"/>
        </w:rPr>
      </w:pPr>
    </w:p>
    <w:p w14:paraId="2BD4ABBE" w14:textId="77777777" w:rsidR="00F11FB3" w:rsidRPr="00542D46" w:rsidRDefault="00F11FB3" w:rsidP="00F11FB3">
      <w:pPr>
        <w:spacing w:line="288" w:lineRule="auto"/>
        <w:rPr>
          <w:rFonts w:cs="Times New Roman" w:hint="eastAsia"/>
        </w:rPr>
      </w:pPr>
    </w:p>
    <w:p w14:paraId="18CD5C83" w14:textId="77777777" w:rsidR="00F11FB3" w:rsidRPr="00542D46" w:rsidRDefault="00F11FB3" w:rsidP="00F11FB3">
      <w:pPr>
        <w:spacing w:line="288" w:lineRule="auto"/>
        <w:rPr>
          <w:rFonts w:cs="Times New Roman" w:hint="eastAsia"/>
        </w:rPr>
      </w:pPr>
    </w:p>
    <w:p w14:paraId="1962C1D1" w14:textId="77777777" w:rsidR="00F11FB3" w:rsidRDefault="00F11FB3" w:rsidP="00F11FB3">
      <w:pPr>
        <w:spacing w:line="288" w:lineRule="auto"/>
        <w:rPr>
          <w:rFonts w:cs="Times New Roman" w:hint="eastAsia"/>
        </w:rPr>
      </w:pPr>
    </w:p>
    <w:p w14:paraId="7CB2398D" w14:textId="77777777" w:rsidR="00F11FB3" w:rsidRDefault="00F11FB3" w:rsidP="00F11FB3">
      <w:pPr>
        <w:spacing w:line="288" w:lineRule="auto"/>
        <w:rPr>
          <w:rFonts w:cs="Times New Roman" w:hint="eastAsia"/>
        </w:rPr>
      </w:pPr>
    </w:p>
    <w:p w14:paraId="5C56D320" w14:textId="77777777" w:rsidR="00F11FB3" w:rsidRDefault="00F11FB3" w:rsidP="00F11FB3">
      <w:pPr>
        <w:spacing w:line="288" w:lineRule="auto"/>
        <w:rPr>
          <w:rFonts w:cs="Times New Roman" w:hint="eastAsia"/>
        </w:rPr>
      </w:pPr>
    </w:p>
    <w:p w14:paraId="09EE6B0A" w14:textId="77777777" w:rsidR="00F11FB3" w:rsidRPr="00542D46" w:rsidRDefault="00F11FB3" w:rsidP="00F11FB3">
      <w:pPr>
        <w:spacing w:line="288" w:lineRule="auto"/>
        <w:rPr>
          <w:rFonts w:cs="Times New Roman" w:hint="eastAsia"/>
        </w:rPr>
      </w:pPr>
    </w:p>
    <w:p w14:paraId="1A8D0E24" w14:textId="77777777" w:rsidR="00F11FB3" w:rsidRPr="00542D46" w:rsidRDefault="00F11FB3" w:rsidP="00F11FB3">
      <w:pPr>
        <w:spacing w:line="288" w:lineRule="auto"/>
        <w:rPr>
          <w:rFonts w:cs="Times New Roman" w:hint="eastAsia"/>
        </w:rPr>
      </w:pPr>
    </w:p>
    <w:p w14:paraId="306434B3" w14:textId="7E016449" w:rsidR="00F11FB3" w:rsidRPr="00542D46" w:rsidRDefault="003C7381" w:rsidP="00F11FB3">
      <w:pPr>
        <w:spacing w:line="288" w:lineRule="auto"/>
        <w:jc w:val="center"/>
        <w:rPr>
          <w:rFonts w:cs="Times New Roman" w:hint="eastAsia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Mar.</w:t>
      </w:r>
      <w:r w:rsidR="00F11FB3" w:rsidRPr="00542D46">
        <w:rPr>
          <w:rFonts w:cs="Times New Roman"/>
          <w:b/>
          <w:bCs/>
          <w:sz w:val="28"/>
          <w:szCs w:val="28"/>
        </w:rPr>
        <w:t xml:space="preserve"> 202</w:t>
      </w:r>
      <w:r>
        <w:rPr>
          <w:rFonts w:cs="Times New Roman" w:hint="eastAsia"/>
          <w:b/>
          <w:bCs/>
          <w:sz w:val="28"/>
          <w:szCs w:val="28"/>
        </w:rPr>
        <w:t>5</w:t>
      </w:r>
    </w:p>
    <w:p w14:paraId="5ED580F8" w14:textId="4D0AC3E0" w:rsidR="00D40235" w:rsidRDefault="00D40235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F81AA04" w14:textId="77777777" w:rsidR="00D80E64" w:rsidRDefault="00D80E64">
      <w:pPr>
        <w:widowControl/>
        <w:jc w:val="lef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34535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1E1E5E" w14:textId="74FC4BCE" w:rsidR="00F21D5F" w:rsidRDefault="00F21D5F" w:rsidP="00F21D5F">
          <w:pPr>
            <w:pStyle w:val="TOC"/>
            <w:ind w:left="420" w:firstLine="420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DDF5FBA" w14:textId="555AD9FF" w:rsidR="00F21D5F" w:rsidRDefault="00F21D5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1999" w:history="1">
            <w:r w:rsidRPr="005D32EC">
              <w:rPr>
                <w:rStyle w:val="ae"/>
                <w:rFonts w:hint="eastAsia"/>
                <w:noProof/>
              </w:rPr>
              <w:t>1 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_Toc195531999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682EC6" w14:textId="5644E200" w:rsidR="00F21D5F" w:rsidRDefault="00F21D5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0" w:history="1">
            <w:r w:rsidRPr="005D32EC">
              <w:rPr>
                <w:rStyle w:val="ae"/>
                <w:rFonts w:hint="eastAsia"/>
                <w:noProof/>
              </w:rPr>
              <w:t>2 软件需求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D7315B" w14:textId="0F222C92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1" w:history="1">
            <w:r w:rsidRPr="005D32EC">
              <w:rPr>
                <w:rStyle w:val="ae"/>
                <w:rFonts w:hint="eastAsia"/>
                <w:noProof/>
              </w:rPr>
              <w:t>2.1 环境需求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8D3838" w14:textId="0874AF94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2" w:history="1">
            <w:r w:rsidRPr="005D32EC">
              <w:rPr>
                <w:rStyle w:val="ae"/>
                <w:rFonts w:hint="eastAsia"/>
                <w:noProof/>
              </w:rPr>
              <w:t>2.2 软件许可证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B26CC0" w14:textId="7D90C4D9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3" w:history="1">
            <w:r w:rsidRPr="005D32EC">
              <w:rPr>
                <w:rStyle w:val="ae"/>
                <w:rFonts w:hint="eastAsia"/>
                <w:noProof/>
              </w:rPr>
              <w:t>2.3 软件安装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02C243" w14:textId="6EE46953" w:rsidR="00F21D5F" w:rsidRDefault="00F21D5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4" w:history="1">
            <w:r w:rsidRPr="005D32EC">
              <w:rPr>
                <w:rStyle w:val="ae"/>
                <w:rFonts w:hint="eastAsia"/>
                <w:noProof/>
              </w:rPr>
              <w:t>3 软件和工具说明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36D3D" w14:textId="4346BC38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5" w:history="1">
            <w:r w:rsidRPr="005D32EC">
              <w:rPr>
                <w:rStyle w:val="ae"/>
                <w:rFonts w:hint="eastAsia"/>
                <w:noProof/>
              </w:rPr>
              <w:t>3.1 数据监测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E2A263" w14:textId="661EB839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6" w:history="1">
            <w:r w:rsidRPr="005D32EC">
              <w:rPr>
                <w:rStyle w:val="ae"/>
                <w:rFonts w:hint="eastAsia"/>
                <w:noProof/>
              </w:rPr>
              <w:t>3.2 质量检测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7C9904" w14:textId="4392EE93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7" w:history="1">
            <w:r w:rsidRPr="005D32EC">
              <w:rPr>
                <w:rStyle w:val="ae"/>
                <w:rFonts w:hint="eastAsia"/>
                <w:noProof/>
              </w:rPr>
              <w:t>3.3 文件编辑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06FB41" w14:textId="3C99E9F3" w:rsidR="00F21D5F" w:rsidRDefault="00F21D5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8" w:history="1">
            <w:r w:rsidRPr="005D32EC">
              <w:rPr>
                <w:rStyle w:val="ae"/>
                <w:rFonts w:hint="eastAsia"/>
                <w:noProof/>
              </w:rPr>
              <w:t>4 理论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E1CD6C" w14:textId="566DD248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09" w:history="1">
            <w:r w:rsidRPr="005D32EC">
              <w:rPr>
                <w:rStyle w:val="ae"/>
                <w:rFonts w:hint="eastAsia"/>
                <w:noProof/>
              </w:rPr>
              <w:t>4.1 数据完整度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9275C8" w14:textId="124DAC2D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10" w:history="1">
            <w:r w:rsidRPr="005D32EC">
              <w:rPr>
                <w:rStyle w:val="ae"/>
                <w:rFonts w:hint="eastAsia"/>
                <w:noProof/>
              </w:rPr>
              <w:t>4.2 MW组合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BD79C9" w14:textId="5F0BC88C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11" w:history="1">
            <w:r w:rsidRPr="005D32EC">
              <w:rPr>
                <w:rStyle w:val="ae"/>
                <w:rFonts w:hint="eastAsia"/>
                <w:noProof/>
              </w:rPr>
              <w:t>4.3 GF组合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F5DEE0" w14:textId="08CB99F1" w:rsidR="00F21D5F" w:rsidRDefault="00F21D5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532012" w:history="1">
            <w:r w:rsidRPr="005D32EC">
              <w:rPr>
                <w:rStyle w:val="ae"/>
                <w:rFonts w:hint="eastAsia"/>
                <w:noProof/>
              </w:rPr>
              <w:t>4.3 IF组合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_Toc195532012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7FDD08" w14:textId="6063F008" w:rsidR="00F21D5F" w:rsidRDefault="00F21D5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07771E7" w14:textId="3F546200" w:rsidR="00D40235" w:rsidRDefault="00D40235" w:rsidP="003F65FC">
      <w:pPr>
        <w:rPr>
          <w:rFonts w:hint="eastAsia"/>
        </w:rPr>
      </w:pPr>
    </w:p>
    <w:p w14:paraId="23406AC6" w14:textId="77777777" w:rsidR="00D40235" w:rsidRDefault="00D40235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CFCF6A6" w14:textId="1A116A64" w:rsidR="0088304A" w:rsidRDefault="0088304A" w:rsidP="00F7716A">
      <w:pPr>
        <w:pStyle w:val="1"/>
        <w:rPr>
          <w:rFonts w:hint="eastAsia"/>
        </w:rPr>
      </w:pPr>
      <w:bookmarkStart w:id="0" w:name="_Toc195531999"/>
      <w:r>
        <w:rPr>
          <w:rFonts w:hint="eastAsia"/>
        </w:rPr>
        <w:lastRenderedPageBreak/>
        <w:t>1 概述</w:t>
      </w:r>
      <w:bookmarkEnd w:id="0"/>
    </w:p>
    <w:p w14:paraId="7BDC5A1D" w14:textId="6BAD11C3" w:rsidR="00DB3E33" w:rsidRDefault="00DB3E33" w:rsidP="00DB3E33">
      <w:pPr>
        <w:ind w:firstLine="420"/>
        <w:rPr>
          <w:rFonts w:hint="eastAsia"/>
        </w:rPr>
      </w:pPr>
      <w:r>
        <w:rPr>
          <w:rFonts w:hint="eastAsia"/>
        </w:rPr>
        <w:t>GNSS</w:t>
      </w:r>
      <w:proofErr w:type="gramStart"/>
      <w:r>
        <w:rPr>
          <w:rFonts w:hint="eastAsia"/>
        </w:rPr>
        <w:t>掩星观测</w:t>
      </w:r>
      <w:proofErr w:type="gramEnd"/>
      <w:r>
        <w:rPr>
          <w:rFonts w:hint="eastAsia"/>
        </w:rPr>
        <w:t>技术在气象领域的应用最早可以追溯到1995年的由美国开展的GPS/MET实验该项目论证了利用GNSS</w:t>
      </w:r>
      <w:proofErr w:type="gramStart"/>
      <w:r>
        <w:rPr>
          <w:rFonts w:hint="eastAsia"/>
        </w:rPr>
        <w:t>掩星技术</w:t>
      </w:r>
      <w:proofErr w:type="gramEnd"/>
      <w:r>
        <w:rPr>
          <w:rFonts w:hint="eastAsia"/>
        </w:rPr>
        <w:t>探测地球大气层和电离层的可行性，并直接带动了后续</w:t>
      </w:r>
      <w:proofErr w:type="gramStart"/>
      <w:r>
        <w:rPr>
          <w:rFonts w:hint="eastAsia"/>
        </w:rPr>
        <w:t>的掩星计划</w:t>
      </w:r>
      <w:proofErr w:type="gramEnd"/>
      <w:r>
        <w:rPr>
          <w:rFonts w:hint="eastAsia"/>
        </w:rPr>
        <w:t>的蓬勃发展，包括德国的CHAMP卫星、阿根廷的SAC-C卫星、美国与德国合作的GRACE卫星、美国与中国台湾合作的COSMIC系列卫星）以及中国的</w:t>
      </w:r>
      <w:proofErr w:type="spellStart"/>
      <w:r>
        <w:rPr>
          <w:rFonts w:hint="eastAsia"/>
        </w:rPr>
        <w:t>FengYun</w:t>
      </w:r>
      <w:proofErr w:type="spellEnd"/>
      <w:r>
        <w:rPr>
          <w:rFonts w:hint="eastAsia"/>
        </w:rPr>
        <w:t>系列卫星。到目前，G</w:t>
      </w:r>
      <w:r>
        <w:t>NSS</w:t>
      </w:r>
      <w:proofErr w:type="gramStart"/>
      <w:r>
        <w:rPr>
          <w:rFonts w:hint="eastAsia"/>
        </w:rPr>
        <w:t>掩星技术</w:t>
      </w:r>
      <w:proofErr w:type="gramEnd"/>
      <w:r>
        <w:rPr>
          <w:rFonts w:hint="eastAsia"/>
        </w:rPr>
        <w:t>已经相对比较成熟，拥有全球覆盖、高精度、高垂直分辨率、长期稳定和全天候观测的优势，为气候研究，业务天气预报、空间天气研究提供了巨大的推动力。</w:t>
      </w:r>
    </w:p>
    <w:p w14:paraId="7923DBCF" w14:textId="0927BF89" w:rsidR="00DB3E33" w:rsidRPr="00DB3E33" w:rsidRDefault="00DB3E33" w:rsidP="00DB3E33">
      <w:pPr>
        <w:ind w:firstLine="420"/>
        <w:rPr>
          <w:rFonts w:hint="eastAsia"/>
        </w:rPr>
      </w:pPr>
      <w:r>
        <w:rPr>
          <w:rFonts w:hint="eastAsia"/>
        </w:rPr>
        <w:t>目前国际上G</w:t>
      </w:r>
      <w:r>
        <w:t>NSS</w:t>
      </w:r>
      <w:r>
        <w:rPr>
          <w:rFonts w:hint="eastAsia"/>
        </w:rPr>
        <w:t>接收机数据交换相关的格式标准为R</w:t>
      </w:r>
      <w:r>
        <w:t>INEX</w:t>
      </w:r>
      <w:r>
        <w:rPr>
          <w:rFonts w:hint="eastAsia"/>
        </w:rPr>
        <w:t>，</w:t>
      </w:r>
      <w:r>
        <w:t>RINEX</w:t>
      </w:r>
      <w:r>
        <w:rPr>
          <w:rFonts w:hint="eastAsia"/>
        </w:rPr>
        <w:t>格式是由瑞士伯尔尼大学天文学院的W</w:t>
      </w:r>
      <w:r>
        <w:t>erner Gurter</w:t>
      </w:r>
      <w:r>
        <w:rPr>
          <w:rFonts w:hint="eastAsia"/>
        </w:rPr>
        <w:t>于1989年提出，其设计的初衷是为了能够综合处理G</w:t>
      </w:r>
      <w:r>
        <w:t>NSS</w:t>
      </w:r>
      <w:r>
        <w:rPr>
          <w:rFonts w:hint="eastAsia"/>
        </w:rPr>
        <w:t>定位观测网的数据，主要适用于GNSS定位定轨用户，并不完全</w:t>
      </w:r>
      <w:proofErr w:type="gramStart"/>
      <w:r>
        <w:rPr>
          <w:rFonts w:hint="eastAsia"/>
        </w:rPr>
        <w:t>适用于掩星观测</w:t>
      </w:r>
      <w:proofErr w:type="gramEnd"/>
      <w:r>
        <w:rPr>
          <w:rFonts w:hint="eastAsia"/>
        </w:rPr>
        <w:t>。比如常规的测地型G</w:t>
      </w:r>
      <w:r>
        <w:t>NSS</w:t>
      </w:r>
      <w:r>
        <w:rPr>
          <w:rFonts w:hint="eastAsia"/>
        </w:rPr>
        <w:t>接收机通常采用闭环跟踪方式，而G</w:t>
      </w:r>
      <w:r>
        <w:t>NSS</w:t>
      </w:r>
      <w:proofErr w:type="gramStart"/>
      <w:r>
        <w:rPr>
          <w:rFonts w:hint="eastAsia"/>
        </w:rPr>
        <w:t>掩星接收机</w:t>
      </w:r>
      <w:proofErr w:type="gramEnd"/>
      <w:r>
        <w:rPr>
          <w:rFonts w:hint="eastAsia"/>
        </w:rPr>
        <w:t>在底层跟踪时通常采用开环跟踪方式，开环跟踪的一些参数也需要在观测数据中记录，目前的R</w:t>
      </w:r>
      <w:r>
        <w:t>INEX</w:t>
      </w:r>
      <w:r>
        <w:rPr>
          <w:rFonts w:hint="eastAsia"/>
        </w:rPr>
        <w:t>格式文件未包含这些参数的定义。</w:t>
      </w:r>
      <w:r w:rsidRPr="00AC7CDF">
        <w:t>在业界，GNSS</w:t>
      </w:r>
      <w:proofErr w:type="gramStart"/>
      <w:r w:rsidRPr="00AC7CDF">
        <w:t>掩星数据</w:t>
      </w:r>
      <w:proofErr w:type="gramEnd"/>
      <w:r w:rsidRPr="00AC7CDF">
        <w:t>的定义存在较大差异。例如，COSMIC卫星和MetOp卫星的</w:t>
      </w:r>
      <w:proofErr w:type="gramStart"/>
      <w:r w:rsidRPr="00AC7CDF">
        <w:t>掩星数据</w:t>
      </w:r>
      <w:proofErr w:type="gramEnd"/>
      <w:r w:rsidRPr="00AC7CDF">
        <w:t>采用</w:t>
      </w:r>
      <w:r>
        <w:rPr>
          <w:rFonts w:hint="eastAsia"/>
        </w:rPr>
        <w:t>的是</w:t>
      </w:r>
      <w:r w:rsidRPr="00AC7CDF">
        <w:t>由研究者自定义的二进制格式。由于缺乏统一的标准，研究人员在处理</w:t>
      </w:r>
      <w:proofErr w:type="gramStart"/>
      <w:r w:rsidRPr="00AC7CDF">
        <w:t>掩星数据</w:t>
      </w:r>
      <w:proofErr w:type="gramEnd"/>
      <w:r w:rsidRPr="00AC7CDF">
        <w:t>时，每</w:t>
      </w:r>
      <w:proofErr w:type="gramStart"/>
      <w:r w:rsidRPr="00AC7CDF">
        <w:t>一个掩星任务</w:t>
      </w:r>
      <w:proofErr w:type="gramEnd"/>
      <w:r w:rsidRPr="00AC7CDF">
        <w:t>都需要开发专门的</w:t>
      </w:r>
      <w:proofErr w:type="gramStart"/>
      <w:r w:rsidRPr="00AC7CDF">
        <w:t>掩星数据</w:t>
      </w:r>
      <w:proofErr w:type="gramEnd"/>
      <w:r w:rsidRPr="00AC7CDF">
        <w:t>读取接口。这种做法不利于数据的交换、统一管理以及联合处理。</w:t>
      </w:r>
      <w:r>
        <w:rPr>
          <w:rFonts w:hint="eastAsia"/>
        </w:rPr>
        <w:t>在第八届国际</w:t>
      </w:r>
      <w:proofErr w:type="gramStart"/>
      <w:r>
        <w:rPr>
          <w:rFonts w:hint="eastAsia"/>
        </w:rPr>
        <w:t>射电掩星工作组</w:t>
      </w:r>
      <w:proofErr w:type="gramEnd"/>
      <w:r>
        <w:rPr>
          <w:rFonts w:hint="eastAsia"/>
        </w:rPr>
        <w:t>会议总结中提到</w:t>
      </w:r>
      <w:proofErr w:type="gramStart"/>
      <w:r>
        <w:rPr>
          <w:rFonts w:hint="eastAsia"/>
        </w:rPr>
        <w:t>了掩星数据</w:t>
      </w:r>
      <w:proofErr w:type="gramEnd"/>
      <w:r>
        <w:rPr>
          <w:rFonts w:hint="eastAsia"/>
        </w:rPr>
        <w:t>交换标准的重要性和紧迫性</w:t>
      </w:r>
      <w:r>
        <w:rPr>
          <w:rStyle w:val="af7"/>
        </w:rPr>
        <w:footnoteReference w:id="1"/>
      </w:r>
      <w:r>
        <w:rPr>
          <w:rFonts w:hint="eastAsia"/>
        </w:rPr>
        <w:t>。中国国家空间科学中心针对上述问题，在参照目前R</w:t>
      </w:r>
      <w:r>
        <w:t>INEX</w:t>
      </w:r>
      <w:r>
        <w:rPr>
          <w:rFonts w:hint="eastAsia"/>
        </w:rPr>
        <w:t>、A</w:t>
      </w:r>
      <w:r>
        <w:t>NTEX</w:t>
      </w:r>
      <w:r>
        <w:rPr>
          <w:rFonts w:hint="eastAsia"/>
        </w:rPr>
        <w:t>、I</w:t>
      </w:r>
      <w:r>
        <w:t>ONEX</w:t>
      </w:r>
      <w:r>
        <w:rPr>
          <w:rFonts w:hint="eastAsia"/>
        </w:rPr>
        <w:t>格式等G</w:t>
      </w:r>
      <w:r>
        <w:t>NSS</w:t>
      </w:r>
      <w:r>
        <w:rPr>
          <w:rFonts w:hint="eastAsia"/>
        </w:rPr>
        <w:t>标准数据文件格式基础上，提出了一套标准的北斗/GNSS</w:t>
      </w:r>
      <w:proofErr w:type="gramStart"/>
      <w:r>
        <w:rPr>
          <w:rFonts w:hint="eastAsia"/>
        </w:rPr>
        <w:t>掩星数据</w:t>
      </w:r>
      <w:proofErr w:type="gramEnd"/>
      <w:r>
        <w:rPr>
          <w:rFonts w:hint="eastAsia"/>
        </w:rPr>
        <w:t>的自主交换格式，详细内容请参考ROEX说明文件。ROEX文件已经在实际科学研究中得到了使用。国家空间科学中心针对ROEX文件开发了一款名为“PyROEX”的软件，该软件是一款由Python编程语言编写的图形界面工具，为用户提供了数据监测、查看数据组合和完整度、文件</w:t>
      </w:r>
      <w:r w:rsidR="004F2946">
        <w:rPr>
          <w:rFonts w:hint="eastAsia"/>
        </w:rPr>
        <w:t>剪切</w:t>
      </w:r>
      <w:r>
        <w:rPr>
          <w:rFonts w:hint="eastAsia"/>
        </w:rPr>
        <w:t>等选项。</w:t>
      </w:r>
    </w:p>
    <w:p w14:paraId="4A126909" w14:textId="4B74DADC" w:rsidR="00D40235" w:rsidRDefault="00F7716A" w:rsidP="00F7716A">
      <w:pPr>
        <w:pStyle w:val="1"/>
        <w:rPr>
          <w:rFonts w:hint="eastAsia"/>
        </w:rPr>
      </w:pPr>
      <w:bookmarkStart w:id="1" w:name="_Toc195532000"/>
      <w:r>
        <w:rPr>
          <w:rFonts w:hint="eastAsia"/>
        </w:rPr>
        <w:t xml:space="preserve">2 </w:t>
      </w:r>
      <w:r w:rsidR="00F147A7">
        <w:rPr>
          <w:rFonts w:hint="eastAsia"/>
        </w:rPr>
        <w:t>软件需求</w:t>
      </w:r>
      <w:bookmarkEnd w:id="1"/>
    </w:p>
    <w:p w14:paraId="6B48157F" w14:textId="174D12FA" w:rsidR="00F7716A" w:rsidRDefault="00F7716A" w:rsidP="00F7716A">
      <w:pPr>
        <w:pStyle w:val="2"/>
        <w:rPr>
          <w:rFonts w:hint="eastAsia"/>
        </w:rPr>
      </w:pPr>
      <w:bookmarkStart w:id="2" w:name="_Toc195532001"/>
      <w:r>
        <w:rPr>
          <w:rFonts w:hint="eastAsia"/>
        </w:rPr>
        <w:t xml:space="preserve">2.1 </w:t>
      </w:r>
      <w:r w:rsidR="00F147A7">
        <w:rPr>
          <w:rFonts w:hint="eastAsia"/>
        </w:rPr>
        <w:t>环境需求</w:t>
      </w:r>
      <w:bookmarkEnd w:id="2"/>
    </w:p>
    <w:p w14:paraId="7D3545A0" w14:textId="17796D25" w:rsidR="00701F67" w:rsidRDefault="00F147A7" w:rsidP="00F147A7">
      <w:pPr>
        <w:ind w:firstLine="420"/>
        <w:rPr>
          <w:rFonts w:hint="eastAsia"/>
        </w:rPr>
      </w:pPr>
      <w:r>
        <w:rPr>
          <w:rFonts w:hint="eastAsia"/>
        </w:rPr>
        <w:t>压缩包</w:t>
      </w:r>
      <w:r w:rsidR="00701F67">
        <w:rPr>
          <w:rFonts w:hint="eastAsia"/>
        </w:rPr>
        <w:t>中的可执行程序由</w:t>
      </w:r>
      <w:r>
        <w:t>Conda</w:t>
      </w:r>
      <w:r w:rsidR="00701F67">
        <w:rPr>
          <w:rFonts w:hint="eastAsia"/>
        </w:rPr>
        <w:t xml:space="preserve"> 24.11.3和Python 3.11.7使用Spyder6.0.0集成开发环境构建。计算机配置要求如下：</w:t>
      </w:r>
    </w:p>
    <w:p w14:paraId="11CD2E40" w14:textId="586C1C78" w:rsidR="00701F67" w:rsidRDefault="00701F67" w:rsidP="00C955A4">
      <w:pPr>
        <w:ind w:leftChars="200" w:left="420"/>
        <w:rPr>
          <w:rFonts w:hint="eastAsia"/>
        </w:rPr>
      </w:pPr>
      <w:r>
        <w:rPr>
          <w:rFonts w:hint="eastAsia"/>
        </w:rPr>
        <w:t>操作系统：Windows、Linux、Mac</w:t>
      </w:r>
    </w:p>
    <w:p w14:paraId="0824730E" w14:textId="468D191C" w:rsidR="00701F67" w:rsidRDefault="00701F67" w:rsidP="00C955A4">
      <w:pPr>
        <w:ind w:leftChars="200" w:left="420"/>
        <w:rPr>
          <w:rFonts w:hint="eastAsia"/>
        </w:rPr>
      </w:pPr>
      <w:r>
        <w:rPr>
          <w:rFonts w:hint="eastAsia"/>
        </w:rPr>
        <w:t>系统类型：64位</w:t>
      </w:r>
    </w:p>
    <w:p w14:paraId="3F242C65" w14:textId="7B42AB54" w:rsidR="00701F67" w:rsidRDefault="00701F67" w:rsidP="006577FA">
      <w:pPr>
        <w:ind w:leftChars="200" w:left="420"/>
        <w:rPr>
          <w:rFonts w:hint="eastAsia"/>
        </w:rPr>
      </w:pPr>
      <w:r>
        <w:rPr>
          <w:rFonts w:hint="eastAsia"/>
        </w:rPr>
        <w:t>内存：512MB以上</w:t>
      </w:r>
    </w:p>
    <w:p w14:paraId="5483C477" w14:textId="285CEB2E" w:rsidR="004D0E04" w:rsidRDefault="00701F67" w:rsidP="00F147A7">
      <w:pPr>
        <w:ind w:firstLine="420"/>
        <w:rPr>
          <w:rFonts w:hint="eastAsia"/>
        </w:rPr>
      </w:pPr>
      <w:r>
        <w:rPr>
          <w:rFonts w:hint="eastAsia"/>
        </w:rPr>
        <w:t>硬盘空间：至少500MB</w:t>
      </w:r>
    </w:p>
    <w:p w14:paraId="2A1AF30C" w14:textId="68A223AA" w:rsidR="004D0E04" w:rsidRDefault="004D0E04" w:rsidP="004D0E04">
      <w:pPr>
        <w:pStyle w:val="2"/>
        <w:rPr>
          <w:rFonts w:hint="eastAsia"/>
        </w:rPr>
      </w:pPr>
      <w:bookmarkStart w:id="3" w:name="_Toc195532002"/>
      <w:r>
        <w:rPr>
          <w:rFonts w:hint="eastAsia"/>
        </w:rPr>
        <w:t xml:space="preserve">2.2 </w:t>
      </w:r>
      <w:r w:rsidR="00F147A7">
        <w:rPr>
          <w:rFonts w:hint="eastAsia"/>
        </w:rPr>
        <w:t>软件许可证</w:t>
      </w:r>
      <w:bookmarkEnd w:id="3"/>
    </w:p>
    <w:p w14:paraId="7BC03812" w14:textId="4DA7DFC2" w:rsidR="00F147A7" w:rsidRPr="00F147A7" w:rsidRDefault="00F147A7" w:rsidP="00F147A7">
      <w:pPr>
        <w:ind w:firstLine="420"/>
        <w:rPr>
          <w:rFonts w:hint="eastAsia"/>
        </w:rPr>
      </w:pPr>
      <w:r>
        <w:rPr>
          <w:rFonts w:hint="eastAsia"/>
        </w:rPr>
        <w:t>PyROEX</w:t>
      </w:r>
      <w:r w:rsidRPr="00F147A7">
        <w:rPr>
          <w:rFonts w:hint="eastAsia"/>
        </w:rPr>
        <w:t>是由GNU通用公共许可证（版本3）（https://www.gnu.org/licenses/gpl-3.0.html）</w:t>
      </w:r>
      <w:r w:rsidRPr="00F147A7">
        <w:rPr>
          <w:rFonts w:hint="eastAsia"/>
        </w:rPr>
        <w:lastRenderedPageBreak/>
        <w:t>管理的开源软件。用户可以根据自由软件基金会发布的GNU通用公共许可证的条款重新发布或修改它。</w:t>
      </w:r>
    </w:p>
    <w:p w14:paraId="1C664D98" w14:textId="3EAD7FC4" w:rsidR="004D0E04" w:rsidRDefault="004D0E04" w:rsidP="004D0E04">
      <w:pPr>
        <w:pStyle w:val="2"/>
        <w:rPr>
          <w:rFonts w:hint="eastAsia"/>
        </w:rPr>
      </w:pPr>
      <w:bookmarkStart w:id="4" w:name="_Toc195532003"/>
      <w:r>
        <w:rPr>
          <w:rFonts w:hint="eastAsia"/>
        </w:rPr>
        <w:t xml:space="preserve">2.3 </w:t>
      </w:r>
      <w:r w:rsidR="00A3036E">
        <w:rPr>
          <w:rFonts w:hint="eastAsia"/>
        </w:rPr>
        <w:t>软件安装</w:t>
      </w:r>
      <w:bookmarkEnd w:id="4"/>
    </w:p>
    <w:p w14:paraId="58D49420" w14:textId="4EEC5A02" w:rsidR="0025324E" w:rsidRDefault="0025324E" w:rsidP="0025324E">
      <w:pPr>
        <w:rPr>
          <w:rFonts w:hint="eastAsia"/>
        </w:rPr>
      </w:pPr>
      <w:r>
        <w:tab/>
      </w:r>
      <w:r>
        <w:rPr>
          <w:rFonts w:hint="eastAsia"/>
        </w:rPr>
        <w:t>下载完</w:t>
      </w:r>
      <w:r w:rsidR="00A0135E">
        <w:rPr>
          <w:rFonts w:hint="eastAsia"/>
        </w:rPr>
        <w:t>PyROEX压缩文件后，请按照以下步骤编译软件。</w:t>
      </w:r>
    </w:p>
    <w:p w14:paraId="7D8F4FFC" w14:textId="30219977" w:rsidR="00A0135E" w:rsidRDefault="0088304A" w:rsidP="00383D60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 xml:space="preserve">步骤 </w:t>
      </w:r>
      <w:r w:rsidR="00A0135E" w:rsidRPr="0088304A">
        <w:rPr>
          <w:rFonts w:hint="eastAsia"/>
          <w:b/>
          <w:bCs/>
        </w:rPr>
        <w:t>1</w:t>
      </w:r>
      <w:r w:rsidR="00A0135E" w:rsidRPr="00A0135E">
        <w:rPr>
          <w:rFonts w:hint="eastAsia"/>
        </w:rPr>
        <w:t>：</w:t>
      </w:r>
      <w:r w:rsidR="00A0135E">
        <w:rPr>
          <w:rFonts w:hint="eastAsia"/>
        </w:rPr>
        <w:t>解压PyROEX.zip文件，不同操作系统的用户可通过不同的命令进行解压操作：</w:t>
      </w:r>
    </w:p>
    <w:p w14:paraId="646EA4EA" w14:textId="7D49CE29" w:rsidR="00A0135E" w:rsidRDefault="00F92D7A" w:rsidP="00383D60">
      <w:pPr>
        <w:pStyle w:val="a9"/>
        <w:ind w:left="880"/>
        <w:rPr>
          <w:rFonts w:hint="eastAsia"/>
        </w:rPr>
      </w:pPr>
      <w:r>
        <w:rPr>
          <w:rFonts w:hint="eastAsia"/>
        </w:rPr>
        <w:t>对于Windows用户，可在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控制台中</w:t>
      </w:r>
      <w:r w:rsidR="0088304A">
        <w:rPr>
          <w:rFonts w:hint="eastAsia"/>
        </w:rPr>
        <w:t>通过</w:t>
      </w:r>
      <w:r w:rsidR="0088304A">
        <w:rPr>
          <w:rFonts w:hint="eastAsia"/>
          <w:shd w:val="pct15" w:color="auto" w:fill="FFFFFF"/>
        </w:rPr>
        <w:t>cd</w:t>
      </w:r>
      <w:r w:rsidR="0088304A">
        <w:rPr>
          <w:rFonts w:hint="eastAsia"/>
        </w:rPr>
        <w:t>命令</w:t>
      </w:r>
      <w:r>
        <w:rPr>
          <w:rFonts w:hint="eastAsia"/>
        </w:rPr>
        <w:t>转到PyROEX.zip所在文件夹位置，在控制台中输入:</w:t>
      </w:r>
    </w:p>
    <w:p w14:paraId="2CAFD16B" w14:textId="4B5CF51E" w:rsidR="00F92D7A" w:rsidRPr="002063E9" w:rsidRDefault="002063E9" w:rsidP="002063E9">
      <w:pPr>
        <w:tabs>
          <w:tab w:val="center" w:pos="4153"/>
        </w:tabs>
        <w:jc w:val="center"/>
        <w:rPr>
          <w:rFonts w:hint="eastAsia"/>
          <w:shd w:val="pct15" w:color="auto" w:fill="FFFFFF"/>
        </w:rPr>
      </w:pPr>
      <w:bookmarkStart w:id="5" w:name="_Hlk195177622"/>
      <w:r w:rsidRPr="002063E9">
        <w:rPr>
          <w:shd w:val="pct15" w:color="auto" w:fill="FFFFFF"/>
        </w:rPr>
        <w:t xml:space="preserve">7z x </w:t>
      </w:r>
      <w:r>
        <w:rPr>
          <w:rFonts w:hint="eastAsia"/>
          <w:shd w:val="pct15" w:color="auto" w:fill="FFFFFF"/>
        </w:rPr>
        <w:t>PyROEX</w:t>
      </w:r>
      <w:r w:rsidRPr="002063E9">
        <w:rPr>
          <w:shd w:val="pct15" w:color="auto" w:fill="FFFFFF"/>
        </w:rPr>
        <w:t>.zip</w:t>
      </w:r>
    </w:p>
    <w:bookmarkEnd w:id="5"/>
    <w:p w14:paraId="5EBF97BE" w14:textId="77777777" w:rsidR="00F92D7A" w:rsidRDefault="00F92D7A" w:rsidP="00383D60">
      <w:pPr>
        <w:pStyle w:val="a9"/>
        <w:ind w:left="880"/>
        <w:rPr>
          <w:rFonts w:hint="eastAsia"/>
        </w:rPr>
      </w:pPr>
      <w:r>
        <w:rPr>
          <w:rFonts w:hint="eastAsia"/>
        </w:rPr>
        <w:t>对于Linus和Mac用户，先在命令行中转到PyROEX.zip所在文件夹位置，在控制台中输入:</w:t>
      </w:r>
    </w:p>
    <w:p w14:paraId="24303297" w14:textId="4A3CABF2" w:rsidR="00F92D7A" w:rsidRPr="0088304A" w:rsidRDefault="00F92D7A" w:rsidP="00383D60">
      <w:pPr>
        <w:pStyle w:val="a9"/>
        <w:tabs>
          <w:tab w:val="center" w:pos="4153"/>
        </w:tabs>
        <w:ind w:left="880"/>
        <w:jc w:val="center"/>
        <w:rPr>
          <w:rFonts w:hint="eastAsia"/>
          <w:shd w:val="pct15" w:color="auto" w:fill="FFFFFF"/>
        </w:rPr>
      </w:pPr>
      <w:r w:rsidRPr="0088304A">
        <w:rPr>
          <w:shd w:val="pct15" w:color="auto" w:fill="FFFFFF"/>
        </w:rPr>
        <w:t xml:space="preserve">unzip </w:t>
      </w:r>
      <w:r w:rsidRPr="0088304A">
        <w:rPr>
          <w:rFonts w:hint="eastAsia"/>
          <w:shd w:val="pct15" w:color="auto" w:fill="FFFFFF"/>
        </w:rPr>
        <w:t>PyROEX</w:t>
      </w:r>
      <w:r w:rsidRPr="0088304A">
        <w:rPr>
          <w:shd w:val="pct15" w:color="auto" w:fill="FFFFFF"/>
        </w:rPr>
        <w:t xml:space="preserve">.zip -d </w:t>
      </w:r>
      <w:proofErr w:type="spellStart"/>
      <w:r w:rsidRPr="0088304A">
        <w:rPr>
          <w:shd w:val="pct15" w:color="auto" w:fill="FFFFFF"/>
        </w:rPr>
        <w:t>target_folder</w:t>
      </w:r>
      <w:proofErr w:type="spellEnd"/>
    </w:p>
    <w:p w14:paraId="12F7292A" w14:textId="481CE350" w:rsidR="00F92D7A" w:rsidRDefault="0088304A" w:rsidP="00383D60">
      <w:pPr>
        <w:pStyle w:val="a9"/>
        <w:tabs>
          <w:tab w:val="center" w:pos="4153"/>
        </w:tabs>
        <w:ind w:left="880"/>
        <w:rPr>
          <w:rFonts w:hint="eastAsia"/>
        </w:rPr>
      </w:pPr>
      <w:r>
        <w:rPr>
          <w:rFonts w:hint="eastAsia"/>
        </w:rPr>
        <w:t>用户</w:t>
      </w:r>
      <w:r w:rsidR="00F92D7A">
        <w:rPr>
          <w:rFonts w:hint="eastAsia"/>
        </w:rPr>
        <w:t>可以得到三个文件夹，分别为doc、data和</w:t>
      </w:r>
      <w:proofErr w:type="spellStart"/>
      <w:r w:rsidR="00F92D7A">
        <w:rPr>
          <w:rFonts w:hint="eastAsia"/>
        </w:rPr>
        <w:t>src</w:t>
      </w:r>
      <w:proofErr w:type="spellEnd"/>
      <w:r w:rsidR="00F92D7A">
        <w:rPr>
          <w:rFonts w:hint="eastAsia"/>
        </w:rPr>
        <w:t>。</w:t>
      </w:r>
      <w:r w:rsidR="00965187">
        <w:rPr>
          <w:rFonts w:hint="eastAsia"/>
        </w:rPr>
        <w:t>doc文件夹中包括中英文用户手册和ROEX的中英文说明文档；data文件夹包含用以提供分析的</w:t>
      </w:r>
      <w:r w:rsidR="004F2946">
        <w:rPr>
          <w:rFonts w:hint="eastAsia"/>
        </w:rPr>
        <w:t>ROEX-A</w:t>
      </w:r>
      <w:r w:rsidR="00965187">
        <w:rPr>
          <w:rFonts w:hint="eastAsia"/>
        </w:rPr>
        <w:t>文件和</w:t>
      </w:r>
      <w:r w:rsidR="004F2946">
        <w:rPr>
          <w:rFonts w:hint="eastAsia"/>
        </w:rPr>
        <w:t>ROEX-I</w:t>
      </w:r>
      <w:r w:rsidR="00965187">
        <w:rPr>
          <w:rFonts w:hint="eastAsia"/>
        </w:rPr>
        <w:t>文件；</w:t>
      </w:r>
      <w:proofErr w:type="spellStart"/>
      <w:r w:rsidR="00965187">
        <w:rPr>
          <w:rFonts w:hint="eastAsia"/>
        </w:rPr>
        <w:t>src</w:t>
      </w:r>
      <w:proofErr w:type="spellEnd"/>
      <w:r>
        <w:rPr>
          <w:rFonts w:hint="eastAsia"/>
        </w:rPr>
        <w:t>文件夹</w:t>
      </w:r>
      <w:r w:rsidR="00965187">
        <w:rPr>
          <w:rFonts w:hint="eastAsia"/>
        </w:rPr>
        <w:t>中包含Python源代码。</w:t>
      </w:r>
    </w:p>
    <w:p w14:paraId="2DCF2B29" w14:textId="77777777" w:rsidR="00A3036E" w:rsidRDefault="00A3036E" w:rsidP="0088304A">
      <w:pPr>
        <w:pStyle w:val="a9"/>
        <w:tabs>
          <w:tab w:val="center" w:pos="4153"/>
        </w:tabs>
        <w:ind w:left="440"/>
        <w:rPr>
          <w:rFonts w:hint="eastAsia"/>
        </w:rPr>
      </w:pPr>
    </w:p>
    <w:p w14:paraId="4112A749" w14:textId="7FC44B86" w:rsidR="00965187" w:rsidRDefault="0088304A" w:rsidP="00383D60">
      <w:pPr>
        <w:pStyle w:val="a9"/>
        <w:numPr>
          <w:ilvl w:val="0"/>
          <w:numId w:val="5"/>
        </w:numPr>
        <w:tabs>
          <w:tab w:val="center" w:pos="4153"/>
        </w:tabs>
        <w:rPr>
          <w:rFonts w:hint="eastAsia"/>
        </w:rPr>
      </w:pPr>
      <w:r>
        <w:rPr>
          <w:rFonts w:hint="eastAsia"/>
          <w:b/>
          <w:bCs/>
        </w:rPr>
        <w:t>步骤</w:t>
      </w:r>
      <w:r w:rsidR="00965187" w:rsidRPr="0088304A">
        <w:rPr>
          <w:rFonts w:hint="eastAsia"/>
          <w:b/>
          <w:bCs/>
        </w:rPr>
        <w:t xml:space="preserve"> 2</w:t>
      </w:r>
      <w:r w:rsidR="00965187" w:rsidRPr="00A0135E">
        <w:rPr>
          <w:rFonts w:hint="eastAsia"/>
        </w:rPr>
        <w:t>：</w:t>
      </w:r>
      <w:r>
        <w:rPr>
          <w:rFonts w:hint="eastAsia"/>
        </w:rPr>
        <w:t>利用</w:t>
      </w:r>
      <w:r>
        <w:rPr>
          <w:rFonts w:hint="eastAsia"/>
          <w:shd w:val="pct15" w:color="auto" w:fill="FFFFFF"/>
        </w:rPr>
        <w:t>cd</w:t>
      </w:r>
      <w:r>
        <w:rPr>
          <w:rFonts w:hint="eastAsia"/>
        </w:rPr>
        <w:t>命令进入到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文件夹中，然后</w:t>
      </w:r>
      <w:r w:rsidR="00965187">
        <w:rPr>
          <w:rFonts w:hint="eastAsia"/>
        </w:rPr>
        <w:t>在控制台中执行安装命令，通过python中的pip命令行批量安装运行所需要的库，输入:</w:t>
      </w:r>
    </w:p>
    <w:p w14:paraId="0D4DD269" w14:textId="426D00EA" w:rsidR="00965187" w:rsidRDefault="00965187" w:rsidP="00383D60">
      <w:pPr>
        <w:pStyle w:val="a9"/>
        <w:tabs>
          <w:tab w:val="center" w:pos="4153"/>
        </w:tabs>
        <w:ind w:left="880"/>
        <w:jc w:val="center"/>
        <w:rPr>
          <w:rFonts w:hint="eastAsia"/>
          <w:shd w:val="pct15" w:color="auto" w:fill="FFFFFF"/>
        </w:rPr>
      </w:pPr>
      <w:r w:rsidRPr="0088304A">
        <w:rPr>
          <w:shd w:val="pct15" w:color="auto" w:fill="FFFFFF"/>
        </w:rPr>
        <w:t>pip install -r requirements.txt</w:t>
      </w:r>
    </w:p>
    <w:p w14:paraId="3FA16432" w14:textId="77777777" w:rsidR="00A3036E" w:rsidRPr="0088304A" w:rsidRDefault="00A3036E" w:rsidP="0088304A">
      <w:pPr>
        <w:pStyle w:val="a9"/>
        <w:tabs>
          <w:tab w:val="center" w:pos="4153"/>
        </w:tabs>
        <w:ind w:left="440"/>
        <w:jc w:val="center"/>
        <w:rPr>
          <w:rFonts w:hint="eastAsia"/>
          <w:shd w:val="pct15" w:color="auto" w:fill="FFFFFF"/>
        </w:rPr>
      </w:pPr>
    </w:p>
    <w:p w14:paraId="5508752C" w14:textId="0E3B51D4" w:rsidR="00965187" w:rsidRDefault="0088304A" w:rsidP="00383D60">
      <w:pPr>
        <w:pStyle w:val="a9"/>
        <w:numPr>
          <w:ilvl w:val="0"/>
          <w:numId w:val="5"/>
        </w:numPr>
        <w:tabs>
          <w:tab w:val="center" w:pos="4153"/>
        </w:tabs>
        <w:rPr>
          <w:rFonts w:hint="eastAsia"/>
        </w:rPr>
      </w:pPr>
      <w:r>
        <w:rPr>
          <w:rFonts w:hint="eastAsia"/>
          <w:b/>
          <w:bCs/>
        </w:rPr>
        <w:t>步骤</w:t>
      </w:r>
      <w:r w:rsidR="00965187" w:rsidRPr="0088304A">
        <w:rPr>
          <w:rFonts w:hint="eastAsia"/>
          <w:b/>
          <w:bCs/>
        </w:rPr>
        <w:t xml:space="preserve"> 3</w:t>
      </w:r>
      <w:r w:rsidR="00965187" w:rsidRPr="00A0135E">
        <w:rPr>
          <w:rFonts w:hint="eastAsia"/>
        </w:rPr>
        <w:t>：</w:t>
      </w:r>
      <w:r w:rsidR="00965187">
        <w:rPr>
          <w:rFonts w:hint="eastAsia"/>
        </w:rPr>
        <w:t>运行PyROEX程序，在命令行中输入：</w:t>
      </w:r>
    </w:p>
    <w:p w14:paraId="78184A6D" w14:textId="487A1EDF" w:rsidR="00915DA8" w:rsidRPr="0088304A" w:rsidRDefault="00965187" w:rsidP="00383D60">
      <w:pPr>
        <w:pStyle w:val="a9"/>
        <w:tabs>
          <w:tab w:val="center" w:pos="4153"/>
        </w:tabs>
        <w:ind w:left="880"/>
        <w:jc w:val="center"/>
        <w:rPr>
          <w:rFonts w:hint="eastAsia"/>
          <w:shd w:val="pct15" w:color="auto" w:fill="FFFFFF"/>
        </w:rPr>
      </w:pPr>
      <w:r w:rsidRPr="0088304A">
        <w:rPr>
          <w:rFonts w:hint="eastAsia"/>
          <w:shd w:val="pct15" w:color="auto" w:fill="FFFFFF"/>
        </w:rPr>
        <w:t>Python main.py</w:t>
      </w:r>
    </w:p>
    <w:p w14:paraId="2399806D" w14:textId="03AA286A" w:rsidR="00915DA8" w:rsidRDefault="00915DA8" w:rsidP="00915DA8">
      <w:pPr>
        <w:pStyle w:val="1"/>
        <w:rPr>
          <w:rFonts w:hint="eastAsia"/>
        </w:rPr>
      </w:pPr>
      <w:bookmarkStart w:id="6" w:name="_Toc195532004"/>
      <w:r>
        <w:rPr>
          <w:rFonts w:hint="eastAsia"/>
        </w:rPr>
        <w:t xml:space="preserve">3 </w:t>
      </w:r>
      <w:r w:rsidR="0088304A">
        <w:rPr>
          <w:rFonts w:hint="eastAsia"/>
        </w:rPr>
        <w:t>软件和工具说明</w:t>
      </w:r>
      <w:bookmarkEnd w:id="6"/>
    </w:p>
    <w:p w14:paraId="3FFDD762" w14:textId="272A4BF2" w:rsidR="00460891" w:rsidRPr="00B40B3A" w:rsidRDefault="00460891" w:rsidP="0088304A">
      <w:pPr>
        <w:ind w:firstLine="420"/>
        <w:rPr>
          <w:rFonts w:hint="eastAsia"/>
          <w:szCs w:val="21"/>
        </w:rPr>
      </w:pPr>
      <w:r w:rsidRPr="00B40B3A">
        <w:rPr>
          <w:rFonts w:hint="eastAsia"/>
          <w:szCs w:val="21"/>
        </w:rPr>
        <w:t>PyROEX软件主要包含</w:t>
      </w:r>
      <w:r w:rsidR="0070139A">
        <w:rPr>
          <w:rFonts w:hint="eastAsia"/>
          <w:szCs w:val="21"/>
        </w:rPr>
        <w:t>四个</w:t>
      </w:r>
      <w:r w:rsidRPr="00B40B3A">
        <w:rPr>
          <w:rFonts w:hint="eastAsia"/>
          <w:szCs w:val="21"/>
        </w:rPr>
        <w:t>功能模块：ROEX文件数据监测、</w:t>
      </w:r>
      <w:r w:rsidR="0070139A">
        <w:rPr>
          <w:rFonts w:hint="eastAsia"/>
          <w:szCs w:val="21"/>
        </w:rPr>
        <w:t>数据组合、数据完整度和</w:t>
      </w:r>
      <w:r w:rsidRPr="00B40B3A">
        <w:rPr>
          <w:rFonts w:hint="eastAsia"/>
          <w:szCs w:val="21"/>
        </w:rPr>
        <w:t>文件</w:t>
      </w:r>
      <w:r w:rsidR="0070139A">
        <w:rPr>
          <w:rFonts w:hint="eastAsia"/>
          <w:szCs w:val="21"/>
        </w:rPr>
        <w:t>剪切</w:t>
      </w:r>
      <w:r w:rsidRPr="00B40B3A">
        <w:rPr>
          <w:rFonts w:hint="eastAsia"/>
          <w:szCs w:val="21"/>
        </w:rPr>
        <w:t>，</w:t>
      </w:r>
      <w:r w:rsidR="00A3036E">
        <w:rPr>
          <w:rFonts w:hint="eastAsia"/>
          <w:szCs w:val="21"/>
        </w:rPr>
        <w:t>整体</w:t>
      </w:r>
      <w:r w:rsidRPr="00B40B3A">
        <w:rPr>
          <w:rFonts w:hint="eastAsia"/>
          <w:szCs w:val="21"/>
        </w:rPr>
        <w:t>结构</w:t>
      </w:r>
      <w:r w:rsidR="0070139A">
        <w:rPr>
          <w:rFonts w:hint="eastAsia"/>
          <w:szCs w:val="21"/>
        </w:rPr>
        <w:t>与功能</w:t>
      </w:r>
      <w:r w:rsidRPr="00B40B3A">
        <w:rPr>
          <w:rFonts w:hint="eastAsia"/>
          <w:szCs w:val="21"/>
        </w:rPr>
        <w:t>如</w:t>
      </w:r>
      <w:r w:rsidR="0088304A" w:rsidRPr="00B40B3A">
        <w:rPr>
          <w:rFonts w:hint="eastAsia"/>
          <w:szCs w:val="21"/>
        </w:rPr>
        <w:t>图1</w:t>
      </w:r>
      <w:r w:rsidRPr="00B40B3A">
        <w:rPr>
          <w:rFonts w:hint="eastAsia"/>
          <w:szCs w:val="21"/>
        </w:rPr>
        <w:t>所示。</w:t>
      </w:r>
    </w:p>
    <w:p w14:paraId="083CA591" w14:textId="297D3D07" w:rsidR="00460891" w:rsidRDefault="0070139A" w:rsidP="00376EA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9AEC64" wp14:editId="40D7CED9">
            <wp:extent cx="5274310" cy="3164840"/>
            <wp:effectExtent l="0" t="0" r="2540" b="0"/>
            <wp:docPr id="70342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7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DF0A" w14:textId="6E76E602" w:rsidR="0088304A" w:rsidRDefault="0088304A" w:rsidP="00376EA6">
      <w:pPr>
        <w:jc w:val="center"/>
        <w:rPr>
          <w:b/>
          <w:bCs/>
        </w:rPr>
      </w:pPr>
      <w:r w:rsidRPr="001328F5">
        <w:rPr>
          <w:rFonts w:hint="eastAsia"/>
          <w:b/>
          <w:bCs/>
        </w:rPr>
        <w:t xml:space="preserve">图1 </w:t>
      </w:r>
      <w:r w:rsidRPr="00D53E51">
        <w:rPr>
          <w:rFonts w:hint="eastAsia"/>
          <w:b/>
          <w:bCs/>
        </w:rPr>
        <w:t>PyROEX软件模块与其功能</w:t>
      </w:r>
    </w:p>
    <w:p w14:paraId="69F3FB45" w14:textId="77777777" w:rsidR="004F2946" w:rsidRDefault="004F2946" w:rsidP="00376EA6">
      <w:pPr>
        <w:jc w:val="center"/>
        <w:rPr>
          <w:rFonts w:hint="eastAsia"/>
          <w:b/>
          <w:bCs/>
        </w:rPr>
      </w:pPr>
    </w:p>
    <w:p w14:paraId="68D381D2" w14:textId="7CEC82C5" w:rsidR="00D53E51" w:rsidRDefault="00D53E51" w:rsidP="004F2946">
      <w:pPr>
        <w:jc w:val="left"/>
        <w:rPr>
          <w:rFonts w:hint="eastAsia"/>
        </w:rPr>
      </w:pPr>
      <w:r>
        <w:rPr>
          <w:rFonts w:hint="eastAsia"/>
        </w:rPr>
        <w:t>为说明方便，引入以下缩写：</w:t>
      </w:r>
    </w:p>
    <w:p w14:paraId="68D2C7DF" w14:textId="43B00613" w:rsidR="00D53E51" w:rsidRDefault="00A21678" w:rsidP="004F2946">
      <w:pPr>
        <w:pStyle w:val="a9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>GNSS</w:t>
      </w:r>
      <w:proofErr w:type="gramStart"/>
      <w:r>
        <w:rPr>
          <w:rFonts w:hint="eastAsia"/>
        </w:rPr>
        <w:t>掩星观测</w:t>
      </w:r>
      <w:proofErr w:type="gramEnd"/>
      <w:r>
        <w:rPr>
          <w:rFonts w:hint="eastAsia"/>
        </w:rPr>
        <w:t>独立交换格式（</w:t>
      </w:r>
      <w:r w:rsidRPr="00A21678">
        <w:t>GNSS Radio Occultation Observation Independent Exchange Format</w:t>
      </w:r>
      <w:r>
        <w:rPr>
          <w:rFonts w:hint="eastAsia"/>
        </w:rPr>
        <w:t>）：ROEX</w:t>
      </w:r>
    </w:p>
    <w:p w14:paraId="72FA4F2A" w14:textId="6F3A8550" w:rsidR="00D53E51" w:rsidRDefault="00D53E51" w:rsidP="004F2946">
      <w:pPr>
        <w:pStyle w:val="a9"/>
        <w:numPr>
          <w:ilvl w:val="0"/>
          <w:numId w:val="5"/>
        </w:numPr>
        <w:jc w:val="left"/>
        <w:rPr>
          <w:rFonts w:hint="eastAsia"/>
        </w:rPr>
      </w:pPr>
      <w:r w:rsidRPr="00D53E51">
        <w:rPr>
          <w:rFonts w:hint="eastAsia"/>
        </w:rPr>
        <w:t>GNSS</w:t>
      </w:r>
      <w:proofErr w:type="gramStart"/>
      <w:r w:rsidRPr="00D53E51">
        <w:rPr>
          <w:rFonts w:hint="eastAsia"/>
        </w:rPr>
        <w:t>大气掩星观测</w:t>
      </w:r>
      <w:proofErr w:type="gramEnd"/>
      <w:r w:rsidRPr="00D53E51">
        <w:rPr>
          <w:rFonts w:hint="eastAsia"/>
        </w:rPr>
        <w:t>独立交换格式</w:t>
      </w:r>
      <w:r>
        <w:rPr>
          <w:rFonts w:hint="eastAsia"/>
        </w:rPr>
        <w:t>（</w:t>
      </w:r>
      <w:r w:rsidRPr="00D53E51">
        <w:rPr>
          <w:rFonts w:hint="eastAsia"/>
        </w:rPr>
        <w:t>GNSS atmospheric occultation observation independent exchange format</w:t>
      </w:r>
      <w:r>
        <w:t>）</w:t>
      </w:r>
      <w:r>
        <w:rPr>
          <w:rFonts w:hint="eastAsia"/>
        </w:rPr>
        <w:t>: ROEX</w:t>
      </w:r>
      <w:r w:rsidR="00094B19">
        <w:rPr>
          <w:rFonts w:hint="eastAsia"/>
        </w:rPr>
        <w:t>-A</w:t>
      </w:r>
    </w:p>
    <w:p w14:paraId="6309B672" w14:textId="2F063962" w:rsidR="00A21678" w:rsidRDefault="00A21678" w:rsidP="004F2946">
      <w:pPr>
        <w:pStyle w:val="a9"/>
        <w:numPr>
          <w:ilvl w:val="0"/>
          <w:numId w:val="5"/>
        </w:numPr>
        <w:jc w:val="left"/>
      </w:pPr>
      <w:r w:rsidRPr="00D53E51">
        <w:rPr>
          <w:rFonts w:hint="eastAsia"/>
        </w:rPr>
        <w:t>GNSS</w:t>
      </w:r>
      <w:proofErr w:type="gramStart"/>
      <w:r>
        <w:rPr>
          <w:rFonts w:hint="eastAsia"/>
        </w:rPr>
        <w:t>电离</w:t>
      </w:r>
      <w:r w:rsidRPr="00D53E51">
        <w:rPr>
          <w:rFonts w:hint="eastAsia"/>
        </w:rPr>
        <w:t>掩星观测</w:t>
      </w:r>
      <w:proofErr w:type="gramEnd"/>
      <w:r w:rsidRPr="00D53E51">
        <w:rPr>
          <w:rFonts w:hint="eastAsia"/>
        </w:rPr>
        <w:t>独立交换格式</w:t>
      </w:r>
      <w:r>
        <w:rPr>
          <w:rFonts w:hint="eastAsia"/>
        </w:rPr>
        <w:t>（</w:t>
      </w:r>
      <w:r w:rsidRPr="00D53E51">
        <w:rPr>
          <w:rFonts w:hint="eastAsia"/>
        </w:rPr>
        <w:t xml:space="preserve">GNSS </w:t>
      </w:r>
      <w:r>
        <w:rPr>
          <w:rFonts w:hint="eastAsia"/>
        </w:rPr>
        <w:t>ionospheric</w:t>
      </w:r>
      <w:r w:rsidRPr="00D53E51">
        <w:rPr>
          <w:rFonts w:hint="eastAsia"/>
        </w:rPr>
        <w:t xml:space="preserve"> occultation observation independent exchange format</w:t>
      </w:r>
      <w:r>
        <w:t>）</w:t>
      </w:r>
      <w:r>
        <w:rPr>
          <w:rFonts w:hint="eastAsia"/>
        </w:rPr>
        <w:t>: IROEX</w:t>
      </w:r>
      <w:r w:rsidR="00094B19">
        <w:rPr>
          <w:rFonts w:hint="eastAsia"/>
        </w:rPr>
        <w:t>-I</w:t>
      </w:r>
    </w:p>
    <w:p w14:paraId="5C7905AC" w14:textId="1CF0A4A5" w:rsidR="00094B19" w:rsidRDefault="00094B19" w:rsidP="004F2946">
      <w:pPr>
        <w:pStyle w:val="a9"/>
        <w:numPr>
          <w:ilvl w:val="0"/>
          <w:numId w:val="5"/>
        </w:numPr>
        <w:jc w:val="left"/>
      </w:pPr>
      <w:r>
        <w:rPr>
          <w:rFonts w:hint="eastAsia"/>
        </w:rPr>
        <w:t>Occultation satellite: OCC</w:t>
      </w:r>
    </w:p>
    <w:p w14:paraId="44DC8C8D" w14:textId="26C9A60B" w:rsidR="00094B19" w:rsidRPr="00094B19" w:rsidRDefault="00094B19" w:rsidP="004F2946">
      <w:pPr>
        <w:pStyle w:val="a9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 xml:space="preserve">Reference </w:t>
      </w:r>
      <w:r>
        <w:t>satellite</w:t>
      </w:r>
      <w:r>
        <w:rPr>
          <w:rFonts w:hint="eastAsia"/>
        </w:rPr>
        <w:t>: REF</w:t>
      </w:r>
    </w:p>
    <w:p w14:paraId="164B5507" w14:textId="77777777" w:rsidR="00A21678" w:rsidRPr="00D53E51" w:rsidRDefault="00A21678" w:rsidP="00D53E51">
      <w:pPr>
        <w:jc w:val="left"/>
        <w:rPr>
          <w:rFonts w:hint="eastAsia"/>
        </w:rPr>
      </w:pPr>
    </w:p>
    <w:p w14:paraId="2B650007" w14:textId="17291EB2" w:rsidR="0070139A" w:rsidRDefault="0070139A" w:rsidP="00094B19">
      <w:pPr>
        <w:pStyle w:val="2"/>
        <w:rPr>
          <w:rFonts w:hint="eastAsia"/>
        </w:rPr>
      </w:pPr>
      <w:r>
        <w:rPr>
          <w:rFonts w:hint="eastAsia"/>
        </w:rPr>
        <w:t>3.1 文件剪切</w:t>
      </w:r>
    </w:p>
    <w:p w14:paraId="09199DA6" w14:textId="0ADA2323" w:rsidR="00D53E51" w:rsidRDefault="00D53E51" w:rsidP="0070139A">
      <w:r>
        <w:tab/>
      </w:r>
      <w:r>
        <w:rPr>
          <w:rFonts w:hint="eastAsia"/>
        </w:rPr>
        <w:t>若用户需要提取良好质量时间段内的数据，可使用文件</w:t>
      </w:r>
      <w:r w:rsidR="002F411D">
        <w:rPr>
          <w:rFonts w:hint="eastAsia"/>
        </w:rPr>
        <w:t>剪切</w:t>
      </w:r>
      <w:r>
        <w:rPr>
          <w:rFonts w:hint="eastAsia"/>
        </w:rPr>
        <w:t>模块得到符合用户设定的时间内的新ROEX文件。文件编辑模块界面如图</w:t>
      </w:r>
      <w:r w:rsidR="009B37A3">
        <w:rPr>
          <w:rFonts w:hint="eastAsia"/>
        </w:rPr>
        <w:t>2</w:t>
      </w:r>
      <w:r>
        <w:rPr>
          <w:rFonts w:hint="eastAsia"/>
        </w:rPr>
        <w:t>所示，对于</w:t>
      </w:r>
      <w:r w:rsidR="004F2946">
        <w:rPr>
          <w:rFonts w:hint="eastAsia"/>
        </w:rPr>
        <w:t>ROEX-A文件</w:t>
      </w:r>
      <w:r>
        <w:rPr>
          <w:rFonts w:hint="eastAsia"/>
        </w:rPr>
        <w:t>，用户需要输入五个量，包括闭环观测起始时间、闭环观测结束时间、开环观测起始时间、开环观测结束时间、输出文件名；对于</w:t>
      </w:r>
      <w:r w:rsidR="004F2946">
        <w:rPr>
          <w:rFonts w:hint="eastAsia"/>
        </w:rPr>
        <w:t>ROEX-I</w:t>
      </w:r>
      <w:r>
        <w:rPr>
          <w:rFonts w:hint="eastAsia"/>
        </w:rPr>
        <w:t>文件，用户只需要输入观测开始时间、观测结束时间和输出文件名，输入信息后点击“Execute”即可。输入的时间格式为“YY-MM-DD HH:MM:SS”，</w:t>
      </w:r>
      <w:r w:rsidRPr="008918B7">
        <w:rPr>
          <w:rFonts w:hint="eastAsia"/>
          <w:color w:val="FF0000"/>
        </w:rPr>
        <w:t>需要注意的是输入时间的秒数需要有小数点，例如输入“2024-2-21 18:42:56.00”可行，而输入“2024-2-21 18:42:56”则会报错</w:t>
      </w:r>
      <w:r>
        <w:rPr>
          <w:rFonts w:hint="eastAsia"/>
        </w:rPr>
        <w:t>。新的ROEX文件会以输入的输出文件名+“.ROX”命名，该</w:t>
      </w:r>
      <w:r w:rsidR="00094B19">
        <w:rPr>
          <w:rFonts w:hint="eastAsia"/>
        </w:rPr>
        <w:t>生成文件会在执行文件所在的父文件夹的data文件夹中</w:t>
      </w:r>
      <w:r>
        <w:rPr>
          <w:rFonts w:hint="eastAsia"/>
        </w:rPr>
        <w:t>。新ROEX文件严格遵守ROEX格式。</w:t>
      </w:r>
    </w:p>
    <w:p w14:paraId="29E9E155" w14:textId="388DB0F8" w:rsidR="00094B19" w:rsidRDefault="00094B19" w:rsidP="00094B19">
      <w:pPr>
        <w:jc w:val="center"/>
      </w:pPr>
      <w:r>
        <w:rPr>
          <w:noProof/>
        </w:rPr>
        <w:lastRenderedPageBreak/>
        <w:drawing>
          <wp:inline distT="0" distB="0" distL="0" distR="0" wp14:anchorId="2ECAFE0D" wp14:editId="7916E463">
            <wp:extent cx="3050744" cy="3174521"/>
            <wp:effectExtent l="0" t="0" r="0" b="6985"/>
            <wp:docPr id="1127258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58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232" cy="31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7373" w14:textId="2B2A0667" w:rsidR="00094B19" w:rsidRPr="00094B19" w:rsidRDefault="00094B19" w:rsidP="00094B19">
      <w:pPr>
        <w:jc w:val="center"/>
        <w:rPr>
          <w:rFonts w:hint="eastAsia"/>
          <w:b/>
          <w:bCs/>
        </w:rPr>
      </w:pPr>
      <w:r w:rsidRPr="00094B19">
        <w:rPr>
          <w:rFonts w:hint="eastAsia"/>
          <w:b/>
          <w:bCs/>
        </w:rPr>
        <w:t>图</w:t>
      </w:r>
      <w:r w:rsidR="009B37A3">
        <w:rPr>
          <w:rFonts w:hint="eastAsia"/>
          <w:b/>
          <w:bCs/>
        </w:rPr>
        <w:t>2</w:t>
      </w:r>
      <w:r w:rsidRPr="00094B19">
        <w:rPr>
          <w:rFonts w:hint="eastAsia"/>
          <w:b/>
          <w:bCs/>
        </w:rPr>
        <w:t xml:space="preserve"> </w:t>
      </w:r>
      <w:r w:rsidRPr="00094B19">
        <w:rPr>
          <w:rFonts w:hint="eastAsia"/>
        </w:rPr>
        <w:t>文件剪切界面</w:t>
      </w:r>
    </w:p>
    <w:p w14:paraId="1AB590AE" w14:textId="77777777" w:rsidR="0070139A" w:rsidRPr="001328F5" w:rsidRDefault="0070139A" w:rsidP="0070139A">
      <w:pPr>
        <w:rPr>
          <w:rFonts w:hint="eastAsia"/>
          <w:b/>
          <w:bCs/>
        </w:rPr>
      </w:pPr>
    </w:p>
    <w:p w14:paraId="7C704535" w14:textId="26C9B47A" w:rsidR="00915DA8" w:rsidRDefault="00915DA8" w:rsidP="00915DA8">
      <w:pPr>
        <w:pStyle w:val="2"/>
        <w:rPr>
          <w:rFonts w:hint="eastAsia"/>
        </w:rPr>
      </w:pPr>
      <w:bookmarkStart w:id="7" w:name="_Toc195532005"/>
      <w:r>
        <w:rPr>
          <w:rFonts w:hint="eastAsia"/>
        </w:rPr>
        <w:t xml:space="preserve">3.1 </w:t>
      </w:r>
      <w:r w:rsidR="00B40B3A">
        <w:rPr>
          <w:rFonts w:hint="eastAsia"/>
        </w:rPr>
        <w:t>数据监测</w:t>
      </w:r>
      <w:bookmarkEnd w:id="7"/>
    </w:p>
    <w:p w14:paraId="7CE5232E" w14:textId="0BCDEE95" w:rsidR="00460891" w:rsidRPr="00460891" w:rsidRDefault="00460891" w:rsidP="00CA550C">
      <w:pPr>
        <w:ind w:firstLine="420"/>
        <w:rPr>
          <w:rFonts w:hint="eastAsia"/>
        </w:rPr>
      </w:pPr>
      <w:r>
        <w:rPr>
          <w:rFonts w:hint="eastAsia"/>
        </w:rPr>
        <w:t>用户通过数据监测模块可以得到ROEX文件数据的可视化图像。用户</w:t>
      </w:r>
      <w:r w:rsidR="002F3F0C">
        <w:rPr>
          <w:rFonts w:hint="eastAsia"/>
        </w:rPr>
        <w:t>运行程序</w:t>
      </w:r>
      <w:r>
        <w:rPr>
          <w:rFonts w:hint="eastAsia"/>
        </w:rPr>
        <w:t>后，点击“Input”以导入需要分析的ROEX文件，然后选择该文件的类型，具体操作步骤如图</w:t>
      </w:r>
      <w:r w:rsidR="009B37A3">
        <w:rPr>
          <w:rFonts w:hint="eastAsia"/>
        </w:rPr>
        <w:t>3</w:t>
      </w:r>
      <w:r>
        <w:rPr>
          <w:rFonts w:hint="eastAsia"/>
        </w:rPr>
        <w:t>所示</w:t>
      </w:r>
      <w:r w:rsidRPr="00460891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ECC52C9" w14:textId="4122DA60" w:rsidR="0010190D" w:rsidRDefault="00AB3E25" w:rsidP="00460891">
      <w:pPr>
        <w:jc w:val="center"/>
        <w:rPr>
          <w:rFonts w:hint="eastAsia"/>
        </w:rPr>
      </w:pPr>
      <w:bookmarkStart w:id="8" w:name="_Hlk195178489"/>
      <w:r>
        <w:rPr>
          <w:noProof/>
        </w:rPr>
        <w:drawing>
          <wp:inline distT="0" distB="0" distL="0" distR="0" wp14:anchorId="71207B39" wp14:editId="0B856B3F">
            <wp:extent cx="3058496" cy="3159022"/>
            <wp:effectExtent l="0" t="0" r="8890" b="3810"/>
            <wp:docPr id="1457759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59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662" cy="31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B732" w14:textId="4993039C" w:rsidR="00CA550C" w:rsidRPr="00003E98" w:rsidRDefault="00B40B3A" w:rsidP="00460891">
      <w:pPr>
        <w:jc w:val="center"/>
        <w:rPr>
          <w:rFonts w:hint="eastAsia"/>
          <w:b/>
          <w:bCs/>
        </w:rPr>
      </w:pPr>
      <w:r w:rsidRPr="00003E98">
        <w:rPr>
          <w:rFonts w:hint="eastAsia"/>
          <w:b/>
          <w:bCs/>
        </w:rPr>
        <w:t>图</w:t>
      </w:r>
      <w:r w:rsidR="009B37A3">
        <w:rPr>
          <w:rFonts w:hint="eastAsia"/>
          <w:b/>
          <w:bCs/>
        </w:rPr>
        <w:t>3</w:t>
      </w:r>
      <w:r w:rsidRPr="00003E98">
        <w:rPr>
          <w:rFonts w:hint="eastAsia"/>
          <w:b/>
          <w:bCs/>
        </w:rPr>
        <w:t xml:space="preserve"> </w:t>
      </w:r>
      <w:r w:rsidR="00AB3E25">
        <w:rPr>
          <w:rFonts w:hint="eastAsia"/>
        </w:rPr>
        <w:t>数据监测</w:t>
      </w:r>
      <w:r w:rsidR="00003E98" w:rsidRPr="00A3036E">
        <w:rPr>
          <w:rFonts w:hint="eastAsia"/>
        </w:rPr>
        <w:t>界面</w:t>
      </w:r>
      <w:r w:rsidR="00AB3E25">
        <w:rPr>
          <w:rFonts w:hint="eastAsia"/>
        </w:rPr>
        <w:t>与操作示意</w:t>
      </w:r>
    </w:p>
    <w:bookmarkEnd w:id="8"/>
    <w:p w14:paraId="7069594B" w14:textId="77777777" w:rsidR="00003E98" w:rsidRDefault="00003E98" w:rsidP="00460891">
      <w:pPr>
        <w:jc w:val="center"/>
        <w:rPr>
          <w:rFonts w:hint="eastAsia"/>
        </w:rPr>
      </w:pPr>
    </w:p>
    <w:p w14:paraId="52EB4721" w14:textId="0F40739A" w:rsidR="001A4B7B" w:rsidRDefault="006848FA" w:rsidP="00A3036E">
      <w:pPr>
        <w:jc w:val="left"/>
        <w:rPr>
          <w:rFonts w:hint="eastAsia"/>
        </w:rPr>
      </w:pPr>
      <w:r>
        <w:rPr>
          <w:rFonts w:hint="eastAsia"/>
        </w:rPr>
        <w:t>选择完文件类型后，</w:t>
      </w:r>
      <w:r w:rsidR="00A3036E">
        <w:rPr>
          <w:rFonts w:hint="eastAsia"/>
        </w:rPr>
        <w:t>用户可以在文本框“CLO SNR LIM”和“OPE SNR LIM”输入信噪比阈值用于筛选数据。</w:t>
      </w:r>
      <w:r w:rsidR="001A4B7B">
        <w:rPr>
          <w:rFonts w:hint="eastAsia"/>
        </w:rPr>
        <w:t>筛选原则为：当某历元的滑动信噪比平均值小于设置的信噪比阈值时，舍弃该历元之后的数据，在python程序中以</w:t>
      </w:r>
      <w:proofErr w:type="spellStart"/>
      <w:r w:rsidR="001A4B7B">
        <w:rPr>
          <w:rFonts w:hint="eastAsia"/>
        </w:rPr>
        <w:t>SNR_filter</w:t>
      </w:r>
      <w:proofErr w:type="spellEnd"/>
      <w:r w:rsidR="001A4B7B">
        <w:rPr>
          <w:rFonts w:hint="eastAsia"/>
        </w:rPr>
        <w:t>()函数实现。对ROEX-A文件中的闭环</w:t>
      </w:r>
      <w:r w:rsidR="001A4B7B">
        <w:rPr>
          <w:rFonts w:hint="eastAsia"/>
        </w:rPr>
        <w:lastRenderedPageBreak/>
        <w:t>和开环时段，滑动窗口大小分别为30和60，对应时长为1s；对ROEX-I文件，滑动窗口大小为60，对应时长为1 min。</w:t>
      </w:r>
      <w:r w:rsidR="005A1082">
        <w:rPr>
          <w:rFonts w:hint="eastAsia"/>
        </w:rPr>
        <w:t>若要改变滑动窗口长度，可在</w:t>
      </w:r>
      <w:proofErr w:type="spellStart"/>
      <w:r w:rsidR="005A1082">
        <w:rPr>
          <w:rFonts w:hint="eastAsia"/>
        </w:rPr>
        <w:t>SNR_filter</w:t>
      </w:r>
      <w:proofErr w:type="spellEnd"/>
      <w:r w:rsidR="005A1082">
        <w:rPr>
          <w:rFonts w:hint="eastAsia"/>
        </w:rPr>
        <w:t>()</w:t>
      </w:r>
      <w:r w:rsidR="005A1082">
        <w:rPr>
          <w:rFonts w:hint="eastAsia"/>
        </w:rPr>
        <w:t>函数内修改。</w:t>
      </w:r>
    </w:p>
    <w:p w14:paraId="35D4316D" w14:textId="203F16E5" w:rsidR="00A3036E" w:rsidRDefault="00A3036E" w:rsidP="001A4B7B">
      <w:pPr>
        <w:ind w:firstLine="420"/>
        <w:jc w:val="left"/>
        <w:rPr>
          <w:rFonts w:hint="eastAsia"/>
        </w:rPr>
      </w:pPr>
      <w:r>
        <w:rPr>
          <w:rFonts w:hint="eastAsia"/>
        </w:rPr>
        <w:t>对于</w:t>
      </w:r>
      <w:r w:rsidR="004F2946">
        <w:rPr>
          <w:rFonts w:hint="eastAsia"/>
        </w:rPr>
        <w:t>ROEX-A</w:t>
      </w:r>
      <w:r>
        <w:rPr>
          <w:rFonts w:hint="eastAsia"/>
        </w:rPr>
        <w:t>文件，软件默认闭环信噪比阈值为40 dB，开环信噪比阈值为</w:t>
      </w:r>
      <w:r w:rsidR="00AB3E25">
        <w:rPr>
          <w:rFonts w:hint="eastAsia"/>
        </w:rPr>
        <w:t xml:space="preserve">40 </w:t>
      </w:r>
      <w:r>
        <w:rPr>
          <w:rFonts w:hint="eastAsia"/>
        </w:rPr>
        <w:t>dB。</w:t>
      </w:r>
      <w:r w:rsidRPr="001729EB">
        <w:rPr>
          <w:rFonts w:hint="eastAsia"/>
          <w:color w:val="FF0000"/>
        </w:rPr>
        <w:t>对于</w:t>
      </w:r>
      <w:r w:rsidR="004F2946">
        <w:rPr>
          <w:rFonts w:hint="eastAsia"/>
          <w:color w:val="FF0000"/>
        </w:rPr>
        <w:t>ROEX-I</w:t>
      </w:r>
      <w:r w:rsidRPr="001729EB">
        <w:rPr>
          <w:rFonts w:hint="eastAsia"/>
          <w:color w:val="FF0000"/>
        </w:rPr>
        <w:t>文件，用户只需要设置“CLO SNR LIM”即可</w:t>
      </w:r>
      <w:r>
        <w:rPr>
          <w:rFonts w:hint="eastAsia"/>
        </w:rPr>
        <w:t>。</w:t>
      </w:r>
      <w:r w:rsidR="004F2946">
        <w:rPr>
          <w:rFonts w:hint="eastAsia"/>
        </w:rPr>
        <w:t>ROEX-A</w:t>
      </w:r>
      <w:r w:rsidR="008566FD">
        <w:rPr>
          <w:rFonts w:hint="eastAsia"/>
        </w:rPr>
        <w:t>文件中包含不参与</w:t>
      </w:r>
      <w:proofErr w:type="gramStart"/>
      <w:r w:rsidR="008566FD">
        <w:rPr>
          <w:rFonts w:hint="eastAsia"/>
        </w:rPr>
        <w:t>掩星事件</w:t>
      </w:r>
      <w:proofErr w:type="gramEnd"/>
      <w:r w:rsidR="008566FD">
        <w:rPr>
          <w:rFonts w:hint="eastAsia"/>
        </w:rPr>
        <w:t>的参考星的信号数据，由于这些数据不包括信噪比，</w:t>
      </w:r>
      <w:r w:rsidR="008566FD" w:rsidRPr="00890CCA">
        <w:rPr>
          <w:rFonts w:hint="eastAsia"/>
        </w:rPr>
        <w:t>故未对参考星的数据进行筛选</w:t>
      </w:r>
      <w:r w:rsidR="008566FD">
        <w:rPr>
          <w:rFonts w:hint="eastAsia"/>
        </w:rPr>
        <w:t>。</w:t>
      </w:r>
    </w:p>
    <w:p w14:paraId="0E8B62A9" w14:textId="06E70F71" w:rsidR="008566FD" w:rsidRDefault="00A3036E" w:rsidP="00A3036E">
      <w:pPr>
        <w:ind w:firstLine="420"/>
        <w:jc w:val="left"/>
        <w:rPr>
          <w:rFonts w:hint="eastAsia"/>
        </w:rPr>
      </w:pPr>
      <w:r>
        <w:rPr>
          <w:rFonts w:hint="eastAsia"/>
        </w:rPr>
        <w:t>设置完信噪比阈值后，用户</w:t>
      </w:r>
      <w:r w:rsidR="006848FA">
        <w:rPr>
          <w:rFonts w:hint="eastAsia"/>
        </w:rPr>
        <w:t>通过选择“Original Data”或“Data Changing Rate</w:t>
      </w:r>
      <w:r w:rsidR="002F3F0C">
        <w:rPr>
          <w:rFonts w:hint="eastAsia"/>
        </w:rPr>
        <w:t>”</w:t>
      </w:r>
      <w:r w:rsidR="006848FA">
        <w:rPr>
          <w:rFonts w:hint="eastAsia"/>
        </w:rPr>
        <w:t>确定需要绘制的数据类型。在“Original Data”界面中实现的是对ROEX文件中的各项数据的可视化，在“Data Changing Rate”界面中实现的是以差分计算的数据的变化率的绘制。</w:t>
      </w:r>
    </w:p>
    <w:p w14:paraId="52CE2008" w14:textId="6C0727E9" w:rsidR="00460891" w:rsidRDefault="006848FA" w:rsidP="00A3036E">
      <w:pPr>
        <w:ind w:firstLine="420"/>
        <w:jc w:val="left"/>
        <w:rPr>
          <w:rFonts w:hint="eastAsia"/>
        </w:rPr>
      </w:pPr>
      <w:r>
        <w:rPr>
          <w:rFonts w:hint="eastAsia"/>
        </w:rPr>
        <w:t>界面中的标识意义请参考ROEX说明文件。图</w:t>
      </w:r>
      <w:r w:rsidR="009B37A3">
        <w:rPr>
          <w:rFonts w:hint="eastAsia"/>
        </w:rPr>
        <w:t>4</w:t>
      </w:r>
      <w:r w:rsidR="004245E5">
        <w:rPr>
          <w:rFonts w:hint="eastAsia"/>
        </w:rPr>
        <w:t>展现了绘制参考</w:t>
      </w:r>
      <w:r w:rsidR="004F2946">
        <w:rPr>
          <w:rFonts w:hint="eastAsia"/>
        </w:rPr>
        <w:t>ROEX-A</w:t>
      </w:r>
      <w:r w:rsidR="004245E5">
        <w:rPr>
          <w:rFonts w:hint="eastAsia"/>
        </w:rPr>
        <w:t>文件中不同频率的信噪比的时序图的基本步骤，红色箭头指向自定义图像横纵坐标标签的通道。</w:t>
      </w:r>
    </w:p>
    <w:p w14:paraId="4F9063B5" w14:textId="470739E9" w:rsidR="004245E5" w:rsidRPr="004245E5" w:rsidRDefault="00890CCA" w:rsidP="004245E5">
      <w:pPr>
        <w:ind w:left="210" w:hangingChars="100" w:hanging="210"/>
        <w:jc w:val="center"/>
        <w:rPr>
          <w:rFonts w:hint="eastAsia"/>
        </w:rPr>
      </w:pPr>
      <w:bookmarkStart w:id="9" w:name="_Hlk195178502"/>
      <w:r>
        <w:rPr>
          <w:noProof/>
        </w:rPr>
        <w:drawing>
          <wp:inline distT="0" distB="0" distL="0" distR="0" wp14:anchorId="7B458518" wp14:editId="24117C02">
            <wp:extent cx="2927899" cy="2981127"/>
            <wp:effectExtent l="0" t="0" r="6350" b="0"/>
            <wp:docPr id="1946782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2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605" cy="29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40F" w14:textId="625BE254" w:rsidR="00B41219" w:rsidRPr="004245E5" w:rsidRDefault="00170E10" w:rsidP="004D126F">
      <w:pPr>
        <w:jc w:val="center"/>
        <w:rPr>
          <w:rFonts w:hint="eastAsia"/>
        </w:rPr>
      </w:pPr>
      <w:r w:rsidRPr="00A3036E">
        <w:rPr>
          <w:rFonts w:hint="eastAsia"/>
          <w:b/>
          <w:bCs/>
        </w:rPr>
        <w:t>图</w:t>
      </w:r>
      <w:r w:rsidR="009B37A3">
        <w:rPr>
          <w:rFonts w:hint="eastAsia"/>
          <w:b/>
          <w:bCs/>
        </w:rPr>
        <w:t>4</w:t>
      </w:r>
      <w:r>
        <w:rPr>
          <w:rFonts w:hint="eastAsia"/>
        </w:rPr>
        <w:t xml:space="preserve"> </w:t>
      </w:r>
      <w:r w:rsidR="00234E58">
        <w:rPr>
          <w:rFonts w:hint="eastAsia"/>
        </w:rPr>
        <w:t>数据监测</w:t>
      </w:r>
      <w:r>
        <w:rPr>
          <w:rFonts w:hint="eastAsia"/>
        </w:rPr>
        <w:t>绘图界面与信噪比绘制结果</w:t>
      </w:r>
    </w:p>
    <w:bookmarkEnd w:id="9"/>
    <w:p w14:paraId="66100698" w14:textId="77777777" w:rsidR="00915DA8" w:rsidRPr="00915DA8" w:rsidRDefault="00915DA8" w:rsidP="00915DA8">
      <w:pPr>
        <w:rPr>
          <w:rFonts w:hint="eastAsia"/>
        </w:rPr>
      </w:pPr>
    </w:p>
    <w:p w14:paraId="087A4DEB" w14:textId="206C3B01" w:rsidR="00915DA8" w:rsidRDefault="00915DA8" w:rsidP="00915DA8">
      <w:pPr>
        <w:pStyle w:val="2"/>
        <w:rPr>
          <w:rFonts w:hint="eastAsia"/>
        </w:rPr>
      </w:pPr>
      <w:bookmarkStart w:id="10" w:name="_Toc195532006"/>
      <w:r>
        <w:rPr>
          <w:rFonts w:hint="eastAsia"/>
        </w:rPr>
        <w:t xml:space="preserve">3.2 </w:t>
      </w:r>
      <w:bookmarkEnd w:id="10"/>
      <w:r w:rsidR="00890CCA">
        <w:rPr>
          <w:rFonts w:hint="eastAsia"/>
        </w:rPr>
        <w:t>数据组合</w:t>
      </w:r>
    </w:p>
    <w:p w14:paraId="30C810F7" w14:textId="4B4F70DA" w:rsidR="00D21623" w:rsidRDefault="00CA550C" w:rsidP="00D21623">
      <w:pPr>
        <w:rPr>
          <w:rFonts w:hint="eastAsia"/>
        </w:rPr>
      </w:pPr>
      <w:r>
        <w:tab/>
      </w:r>
      <w:r w:rsidR="00616F1F">
        <w:rPr>
          <w:rFonts w:hint="eastAsia"/>
        </w:rPr>
        <w:t>在</w:t>
      </w:r>
      <w:r>
        <w:rPr>
          <w:rFonts w:hint="eastAsia"/>
        </w:rPr>
        <w:t>“</w:t>
      </w:r>
      <w:r w:rsidR="00890CCA">
        <w:rPr>
          <w:rFonts w:hint="eastAsia"/>
        </w:rPr>
        <w:t>Data Combination</w:t>
      </w:r>
      <w:r>
        <w:rPr>
          <w:rFonts w:hint="eastAsia"/>
        </w:rPr>
        <w:t>”模块中，</w:t>
      </w:r>
      <w:r w:rsidR="00616F1F">
        <w:rPr>
          <w:rFonts w:hint="eastAsia"/>
        </w:rPr>
        <w:t>用户</w:t>
      </w:r>
      <w:r>
        <w:rPr>
          <w:rFonts w:hint="eastAsia"/>
        </w:rPr>
        <w:t>可以绘制数据之间的组合时序图，包括MW组合、GF组合、</w:t>
      </w:r>
      <w:r w:rsidR="00A3036E">
        <w:rPr>
          <w:rFonts w:hint="eastAsia"/>
        </w:rPr>
        <w:t>IF组合</w:t>
      </w:r>
      <w:r w:rsidR="00890CCA">
        <w:rPr>
          <w:rFonts w:hint="eastAsia"/>
        </w:rPr>
        <w:t>和DIF组合</w:t>
      </w:r>
      <w:r>
        <w:rPr>
          <w:rFonts w:hint="eastAsia"/>
        </w:rPr>
        <w:t>。具体操作步骤</w:t>
      </w:r>
      <w:r w:rsidR="00616F1F">
        <w:rPr>
          <w:rFonts w:hint="eastAsia"/>
        </w:rPr>
        <w:t>和结果</w:t>
      </w:r>
      <w:r>
        <w:rPr>
          <w:rFonts w:hint="eastAsia"/>
        </w:rPr>
        <w:t>如图</w:t>
      </w:r>
      <w:r w:rsidR="009B37A3">
        <w:rPr>
          <w:rFonts w:hint="eastAsia"/>
        </w:rPr>
        <w:t>5</w:t>
      </w:r>
      <w:r>
        <w:rPr>
          <w:rFonts w:hint="eastAsia"/>
        </w:rPr>
        <w:t>所示，首先在“File Type”下选择文件类型，</w:t>
      </w:r>
      <w:r w:rsidR="00A3036E">
        <w:rPr>
          <w:rFonts w:hint="eastAsia"/>
        </w:rPr>
        <w:t>然后仍然需要用户设置信噪比阈值。</w:t>
      </w:r>
    </w:p>
    <w:p w14:paraId="55B5571D" w14:textId="6E1000ED" w:rsidR="00F259E1" w:rsidRDefault="000859D4" w:rsidP="00013E1E">
      <w:pPr>
        <w:ind w:firstLine="420"/>
        <w:rPr>
          <w:rFonts w:hint="eastAsia"/>
        </w:rPr>
      </w:pPr>
      <w:r>
        <w:rPr>
          <w:rFonts w:hint="eastAsia"/>
        </w:rPr>
        <w:t>选择完文件类型之后，用户可在“MW”、“GF”、“</w:t>
      </w:r>
      <w:r w:rsidR="008566FD">
        <w:rPr>
          <w:rFonts w:hint="eastAsia"/>
        </w:rPr>
        <w:t>IF</w:t>
      </w:r>
      <w:r>
        <w:rPr>
          <w:rFonts w:hint="eastAsia"/>
        </w:rPr>
        <w:t>”</w:t>
      </w:r>
      <w:r w:rsidR="005A1082">
        <w:rPr>
          <w:rFonts w:hint="eastAsia"/>
        </w:rPr>
        <w:t>和“DIF”四</w:t>
      </w:r>
      <w:r>
        <w:rPr>
          <w:rFonts w:hint="eastAsia"/>
        </w:rPr>
        <w:t>个</w:t>
      </w:r>
      <w:r w:rsidR="00616F1F">
        <w:rPr>
          <w:rFonts w:hint="eastAsia"/>
        </w:rPr>
        <w:t>选项卡</w:t>
      </w:r>
      <w:r>
        <w:rPr>
          <w:rFonts w:hint="eastAsia"/>
        </w:rPr>
        <w:t>中绘制指定观测模式下的指定卫星的数据的组合，该功能可用于检测数据质量。</w:t>
      </w:r>
      <w:r w:rsidR="00013E1E">
        <w:rPr>
          <w:rFonts w:hint="eastAsia"/>
        </w:rPr>
        <w:t>请用户注意</w:t>
      </w:r>
      <w:r w:rsidR="00F259E1">
        <w:rPr>
          <w:rFonts w:hint="eastAsia"/>
        </w:rPr>
        <w:t>：</w:t>
      </w:r>
    </w:p>
    <w:p w14:paraId="4F02EB0E" w14:textId="77777777" w:rsidR="001729EB" w:rsidRDefault="001729EB" w:rsidP="00013E1E">
      <w:pPr>
        <w:ind w:firstLine="420"/>
        <w:rPr>
          <w:rFonts w:hint="eastAsia"/>
        </w:rPr>
      </w:pPr>
    </w:p>
    <w:p w14:paraId="58B8823F" w14:textId="6AF16336" w:rsidR="00E565E9" w:rsidRDefault="008566FD" w:rsidP="00890CCA">
      <w:pPr>
        <w:pStyle w:val="a9"/>
        <w:numPr>
          <w:ilvl w:val="0"/>
          <w:numId w:val="4"/>
        </w:numPr>
      </w:pPr>
      <w:r w:rsidRPr="00890CCA">
        <w:rPr>
          <w:rFonts w:hint="eastAsia"/>
        </w:rPr>
        <w:t>这里绘制的图像并不是组合的时序图，而是组合的一阶差分时序图。</w:t>
      </w:r>
      <w:r w:rsidR="00E565E9" w:rsidRPr="00890CCA">
        <w:rPr>
          <w:rFonts w:hint="eastAsia"/>
        </w:rPr>
        <w:t>具体组合原理请参考第四节。</w:t>
      </w:r>
    </w:p>
    <w:p w14:paraId="1CAF8DB1" w14:textId="1171813E" w:rsidR="00890CCA" w:rsidRDefault="00AE12EF" w:rsidP="00AE12EF">
      <w:pPr>
        <w:pStyle w:val="a9"/>
        <w:numPr>
          <w:ilvl w:val="0"/>
          <w:numId w:val="4"/>
        </w:numPr>
      </w:pPr>
      <w:r>
        <w:rPr>
          <w:rFonts w:hint="eastAsia"/>
        </w:rPr>
        <w:t>对ROEX-I文件数据进行组合时，没有“DIF”选项。</w:t>
      </w:r>
    </w:p>
    <w:p w14:paraId="7632BCFA" w14:textId="77777777" w:rsidR="00AE12EF" w:rsidRPr="00AE12EF" w:rsidRDefault="00AE12EF" w:rsidP="00AE12EF">
      <w:pPr>
        <w:ind w:left="420"/>
        <w:rPr>
          <w:rFonts w:hint="eastAsia"/>
        </w:rPr>
      </w:pPr>
    </w:p>
    <w:p w14:paraId="223A491F" w14:textId="0B4AC561" w:rsidR="00013E1E" w:rsidRDefault="005A615F" w:rsidP="00013E1E">
      <w:pPr>
        <w:ind w:firstLine="420"/>
        <w:rPr>
          <w:rFonts w:hint="eastAsia"/>
        </w:rPr>
      </w:pPr>
      <w:r>
        <w:rPr>
          <w:rFonts w:hint="eastAsia"/>
        </w:rPr>
        <w:t>图</w:t>
      </w:r>
      <w:r w:rsidR="009B37A3">
        <w:rPr>
          <w:rFonts w:hint="eastAsia"/>
        </w:rPr>
        <w:t>5</w:t>
      </w:r>
      <w:r>
        <w:rPr>
          <w:rFonts w:hint="eastAsia"/>
        </w:rPr>
        <w:t>展现了绘制示例</w:t>
      </w:r>
      <w:r w:rsidR="004F2946">
        <w:rPr>
          <w:rFonts w:hint="eastAsia"/>
        </w:rPr>
        <w:t>ROEX-A</w:t>
      </w:r>
      <w:r>
        <w:rPr>
          <w:rFonts w:hint="eastAsia"/>
        </w:rPr>
        <w:t>文件中的个别数据的</w:t>
      </w:r>
      <w:r w:rsidR="008918B7">
        <w:rPr>
          <w:rFonts w:hint="eastAsia"/>
        </w:rPr>
        <w:t>GF组合</w:t>
      </w:r>
      <w:r>
        <w:rPr>
          <w:rFonts w:hint="eastAsia"/>
        </w:rPr>
        <w:t>的结果</w:t>
      </w:r>
      <w:r w:rsidR="008918B7">
        <w:rPr>
          <w:rFonts w:hint="eastAsia"/>
        </w:rPr>
        <w:t>。</w:t>
      </w:r>
      <w:r>
        <w:rPr>
          <w:rFonts w:hint="eastAsia"/>
        </w:rPr>
        <w:t>需要注意的是，该模块中的数据标识的命名不同于数据监测模块，比如“MW”界面中的“1C2X”表示由载波相位信息“L1C”、“L2X”和伪距信息“C1C”、“C2X</w:t>
      </w:r>
      <w:r w:rsidR="003272A8">
        <w:rPr>
          <w:rFonts w:hint="eastAsia"/>
        </w:rPr>
        <w:t>”</w:t>
      </w:r>
      <w:r>
        <w:rPr>
          <w:rFonts w:hint="eastAsia"/>
        </w:rPr>
        <w:t>按照MW组合运算规律得到的组合结果；“GF”界面中的“1C2X”表示由载波相位信息“L1C”、“L2X”按照GF组合运算规律得到的组合结果</w:t>
      </w:r>
      <w:r w:rsidR="00E565E9">
        <w:rPr>
          <w:rFonts w:hint="eastAsia"/>
        </w:rPr>
        <w:t>；</w:t>
      </w:r>
      <w:r w:rsidR="003272A8">
        <w:rPr>
          <w:rFonts w:hint="eastAsia"/>
        </w:rPr>
        <w:t>“</w:t>
      </w:r>
      <w:r w:rsidR="00E565E9">
        <w:rPr>
          <w:rFonts w:hint="eastAsia"/>
        </w:rPr>
        <w:t>IF</w:t>
      </w:r>
      <w:r w:rsidR="003272A8">
        <w:rPr>
          <w:rFonts w:hint="eastAsia"/>
        </w:rPr>
        <w:t>”</w:t>
      </w:r>
      <w:r w:rsidR="003272A8">
        <w:rPr>
          <w:rFonts w:hint="eastAsia"/>
        </w:rPr>
        <w:lastRenderedPageBreak/>
        <w:t>界面中的</w:t>
      </w:r>
      <w:r w:rsidR="00E565E9">
        <w:rPr>
          <w:rFonts w:hint="eastAsia"/>
        </w:rPr>
        <w:t>标识意义与“GF”中的相同。</w:t>
      </w:r>
    </w:p>
    <w:p w14:paraId="2E404684" w14:textId="77777777" w:rsidR="003272A8" w:rsidRDefault="003272A8" w:rsidP="00CA550C">
      <w:pPr>
        <w:rPr>
          <w:rFonts w:hint="eastAsia"/>
        </w:rPr>
      </w:pPr>
    </w:p>
    <w:p w14:paraId="0DB48F93" w14:textId="3EC61DFB" w:rsidR="00D21623" w:rsidRDefault="005A1082" w:rsidP="00D21623">
      <w:pPr>
        <w:jc w:val="center"/>
        <w:rPr>
          <w:rFonts w:hint="eastAsia"/>
        </w:rPr>
      </w:pPr>
      <w:bookmarkStart w:id="11" w:name="_Hlk195178510"/>
      <w:r>
        <w:rPr>
          <w:noProof/>
        </w:rPr>
        <w:drawing>
          <wp:inline distT="0" distB="0" distL="0" distR="0" wp14:anchorId="51790258" wp14:editId="183B0D92">
            <wp:extent cx="3667003" cy="3980018"/>
            <wp:effectExtent l="0" t="0" r="0" b="1905"/>
            <wp:docPr id="614900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00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304" cy="39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B79E" w14:textId="4C76F967" w:rsidR="00D21623" w:rsidRDefault="00D21623" w:rsidP="00D21623">
      <w:pPr>
        <w:jc w:val="center"/>
        <w:rPr>
          <w:rFonts w:hint="eastAsia"/>
        </w:rPr>
      </w:pPr>
      <w:r w:rsidRPr="008918B7">
        <w:rPr>
          <w:rFonts w:hint="eastAsia"/>
          <w:b/>
          <w:bCs/>
        </w:rPr>
        <w:t>图</w:t>
      </w:r>
      <w:r w:rsidR="009B37A3">
        <w:rPr>
          <w:rFonts w:hint="eastAsia"/>
          <w:b/>
          <w:bCs/>
        </w:rPr>
        <w:t>5</w:t>
      </w:r>
      <w:r>
        <w:rPr>
          <w:rFonts w:hint="eastAsia"/>
        </w:rPr>
        <w:t xml:space="preserve"> 查看数据组合步骤及结果</w:t>
      </w:r>
    </w:p>
    <w:bookmarkEnd w:id="11"/>
    <w:p w14:paraId="5F2F4BF5" w14:textId="2D755420" w:rsidR="005A1082" w:rsidRDefault="005A1082" w:rsidP="005A1082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 xml:space="preserve"> 数据</w:t>
      </w:r>
      <w:r>
        <w:rPr>
          <w:rFonts w:hint="eastAsia"/>
        </w:rPr>
        <w:t>完整度</w:t>
      </w:r>
    </w:p>
    <w:p w14:paraId="141CC5A1" w14:textId="363FA136" w:rsidR="005A1082" w:rsidRPr="00D21623" w:rsidRDefault="005A1082" w:rsidP="00CA550C">
      <w:pPr>
        <w:rPr>
          <w:rFonts w:hint="eastAsia"/>
        </w:rPr>
      </w:pPr>
      <w:r>
        <w:tab/>
      </w:r>
      <w:r>
        <w:rPr>
          <w:rFonts w:hint="eastAsia"/>
        </w:rPr>
        <w:t>用户可利用“Data Integrity”模块查看数据完整度并定位缺失数据处的标识和时间。计算的数据完整</w:t>
      </w:r>
      <w:proofErr w:type="gramStart"/>
      <w:r>
        <w:rPr>
          <w:rFonts w:hint="eastAsia"/>
        </w:rPr>
        <w:t>度并非</w:t>
      </w:r>
      <w:proofErr w:type="gramEnd"/>
      <w:r>
        <w:rPr>
          <w:rFonts w:hint="eastAsia"/>
        </w:rPr>
        <w:t>整个文件的数据完整度，而是根据信噪比阈值筛选后的有效数据的完整度。用户可以自由选择需要查看的数据，然后得到其数据完整度。该模块还会在运行目录的父文件夹中的data文件夹中写入LOG文件以供用户查看。具体操作流程和结果如图</w:t>
      </w:r>
      <w:r w:rsidR="009B37A3">
        <w:rPr>
          <w:rFonts w:hint="eastAsia"/>
        </w:rPr>
        <w:t>6</w:t>
      </w:r>
      <w:r>
        <w:rPr>
          <w:rFonts w:hint="eastAsia"/>
        </w:rPr>
        <w:t>所示。</w:t>
      </w:r>
    </w:p>
    <w:p w14:paraId="1198D012" w14:textId="09A0FFC5" w:rsidR="00D21623" w:rsidRDefault="005A1082" w:rsidP="005A108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1802F7" wp14:editId="1FC90CAC">
            <wp:extent cx="3052362" cy="3312544"/>
            <wp:effectExtent l="0" t="0" r="0" b="2540"/>
            <wp:docPr id="35369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96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817" cy="33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Hlk195178520"/>
    </w:p>
    <w:p w14:paraId="2E73041A" w14:textId="7EE50F51" w:rsidR="00D21623" w:rsidRDefault="00D21623" w:rsidP="00D21623">
      <w:pPr>
        <w:ind w:firstLine="420"/>
        <w:jc w:val="center"/>
        <w:rPr>
          <w:rFonts w:hint="eastAsia"/>
        </w:rPr>
      </w:pPr>
      <w:r w:rsidRPr="008918B7">
        <w:rPr>
          <w:rFonts w:hint="eastAsia"/>
          <w:b/>
          <w:bCs/>
        </w:rPr>
        <w:t>图</w:t>
      </w:r>
      <w:r w:rsidR="009B37A3">
        <w:rPr>
          <w:rFonts w:hint="eastAsia"/>
          <w:b/>
          <w:bCs/>
        </w:rPr>
        <w:t>6</w:t>
      </w:r>
      <w:r>
        <w:rPr>
          <w:rFonts w:hint="eastAsia"/>
        </w:rPr>
        <w:t xml:space="preserve"> 查看数据完整度</w:t>
      </w:r>
      <w:r w:rsidR="009B37A3">
        <w:rPr>
          <w:rFonts w:hint="eastAsia"/>
        </w:rPr>
        <w:t>步骤及结果</w:t>
      </w:r>
    </w:p>
    <w:p w14:paraId="466033C9" w14:textId="7C3EC20F" w:rsidR="000A5E28" w:rsidRDefault="000A5E28" w:rsidP="000A5E28">
      <w:pPr>
        <w:pStyle w:val="1"/>
        <w:rPr>
          <w:rFonts w:hint="eastAsia"/>
        </w:rPr>
      </w:pPr>
      <w:bookmarkStart w:id="13" w:name="_Toc195532008"/>
      <w:bookmarkEnd w:id="12"/>
      <w:r>
        <w:rPr>
          <w:rFonts w:hint="eastAsia"/>
        </w:rPr>
        <w:t>4 理论</w:t>
      </w:r>
      <w:bookmarkEnd w:id="13"/>
    </w:p>
    <w:p w14:paraId="4901420A" w14:textId="1547FCAB" w:rsidR="000A5E28" w:rsidRDefault="000A5E28" w:rsidP="000A5E28">
      <w:pPr>
        <w:rPr>
          <w:rFonts w:hint="eastAsia"/>
        </w:rPr>
      </w:pPr>
      <w:r>
        <w:tab/>
      </w:r>
      <w:r>
        <w:rPr>
          <w:rFonts w:hint="eastAsia"/>
        </w:rPr>
        <w:t>为方便用户阅读，在此对各字母和符号进行定义：</w:t>
      </w:r>
    </w:p>
    <w:p w14:paraId="61D96004" w14:textId="637FE7A3" w:rsidR="00610C38" w:rsidRDefault="00610C38" w:rsidP="002F3F0C">
      <w:pPr>
        <w:ind w:leftChars="200" w:left="420"/>
        <w:rPr>
          <w:rFonts w:hint="eastAsia"/>
        </w:rPr>
      </w:pP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:真空中光速，为</w:t>
      </w:r>
      <w:r w:rsidRPr="00610C38">
        <w:rPr>
          <w:rFonts w:hint="eastAsia"/>
        </w:rPr>
        <w:t>299792458</w:t>
      </w:r>
      <w:r>
        <w:rPr>
          <w:rFonts w:hint="eastAsia"/>
        </w:rPr>
        <w:t>米每秒(m/s)</w:t>
      </w:r>
    </w:p>
    <w:p w14:paraId="09EF5FDB" w14:textId="644AC084" w:rsidR="000A5E28" w:rsidRDefault="000A5E28" w:rsidP="002F3F0C">
      <w:pPr>
        <w:ind w:leftChars="200" w:left="420"/>
        <w:rPr>
          <w:rFonts w:hint="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:相位量测值</w:t>
      </w:r>
      <w:r w:rsidR="00610C38">
        <w:rPr>
          <w:rFonts w:hint="eastAsia"/>
        </w:rPr>
        <w:t>，单位为米(m)</w:t>
      </w:r>
    </w:p>
    <w:p w14:paraId="1E594CB3" w14:textId="30F733F3" w:rsidR="00610C38" w:rsidRDefault="00610C38" w:rsidP="002F3F0C">
      <w:pPr>
        <w:ind w:leftChars="200" w:left="420"/>
        <w:rPr>
          <w:rFonts w:hint="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:相位量测值，单位为周(cycle)</w:t>
      </w:r>
    </w:p>
    <w:p w14:paraId="41DA342F" w14:textId="5E43FB76" w:rsidR="00610C38" w:rsidRDefault="00610C38" w:rsidP="002F3F0C">
      <w:pPr>
        <w:ind w:leftChars="200" w:left="420"/>
        <w:rPr>
          <w:rFonts w:hint="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:伪距测值，单位为米(m)</w:t>
      </w:r>
    </w:p>
    <w:p w14:paraId="2EB3251C" w14:textId="14DB10BD" w:rsidR="00610C38" w:rsidRDefault="00610C38" w:rsidP="002F3F0C">
      <w:pPr>
        <w:ind w:leftChars="200" w:left="420"/>
        <w:rPr>
          <w:rFonts w:hint="eastAsia"/>
        </w:rPr>
      </w:pP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:信号频率，单位为</w:t>
      </w:r>
      <w:proofErr w:type="gramStart"/>
      <w:r>
        <w:rPr>
          <w:rFonts w:hint="eastAsia"/>
        </w:rPr>
        <w:t>赫兹(</w:t>
      </w:r>
      <w:proofErr w:type="gramEnd"/>
      <w:r>
        <w:rPr>
          <w:rFonts w:hint="eastAsia"/>
        </w:rPr>
        <w:t>Hz)</w:t>
      </w:r>
    </w:p>
    <w:p w14:paraId="703249F8" w14:textId="254AB363" w:rsidR="00610C38" w:rsidRDefault="00610C38" w:rsidP="002F3F0C">
      <w:pPr>
        <w:ind w:leftChars="200" w:left="420"/>
        <w:rPr>
          <w:rFonts w:hint="eastAsia"/>
        </w:rPr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:信号波长，单位为米(m)</w:t>
      </w:r>
    </w:p>
    <w:p w14:paraId="6CF8A63B" w14:textId="0B6B0F97" w:rsidR="00D24E1F" w:rsidRDefault="00000000" w:rsidP="002F3F0C">
      <w:pPr>
        <w:ind w:leftChars="200" w:left="420"/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 w:rsidR="00D24E1F">
        <w:rPr>
          <w:rFonts w:hint="eastAsia"/>
        </w:rPr>
        <w:t>:对数据</w:t>
      </w:r>
      <m:oMath>
        <m:r>
          <w:rPr>
            <w:rFonts w:ascii="Cambria Math" w:hAnsi="Cambria Math" w:hint="eastAsia"/>
          </w:rPr>
          <m:t>x</m:t>
        </m:r>
      </m:oMath>
      <w:r w:rsidR="00D24E1F">
        <w:rPr>
          <w:rFonts w:hint="eastAsia"/>
        </w:rPr>
        <w:t>求平均值</w:t>
      </w:r>
    </w:p>
    <w:p w14:paraId="096C80BF" w14:textId="5DEA8F11" w:rsidR="00610C38" w:rsidRPr="00610C38" w:rsidRDefault="008D6A00" w:rsidP="002F3F0C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:对应载波相位的整周模糊度，单位为周(cycle)</w:t>
      </w:r>
    </w:p>
    <w:p w14:paraId="1C75D9D4" w14:textId="77777777" w:rsidR="00610C38" w:rsidRPr="00610C38" w:rsidRDefault="00610C38" w:rsidP="00610C38">
      <w:pPr>
        <w:rPr>
          <w:rFonts w:hint="eastAsia"/>
        </w:rPr>
      </w:pPr>
    </w:p>
    <w:p w14:paraId="0CC021B7" w14:textId="7E1A571B" w:rsidR="00610C38" w:rsidRPr="00610C38" w:rsidRDefault="00D24E1F" w:rsidP="00D24E1F">
      <w:pPr>
        <w:pStyle w:val="2"/>
        <w:rPr>
          <w:rFonts w:hint="eastAsia"/>
        </w:rPr>
      </w:pPr>
      <w:bookmarkStart w:id="14" w:name="_Toc195532009"/>
      <w:r>
        <w:rPr>
          <w:rFonts w:hint="eastAsia"/>
        </w:rPr>
        <w:t>4.1 数据完整度</w:t>
      </w:r>
      <w:bookmarkEnd w:id="14"/>
    </w:p>
    <w:p w14:paraId="2C7EB5B4" w14:textId="77777777" w:rsidR="00D24E1F" w:rsidRPr="002B3720" w:rsidRDefault="00D24E1F" w:rsidP="00D24E1F">
      <w:pPr>
        <w:ind w:firstLine="420"/>
        <w:rPr>
          <w:rFonts w:hint="eastAsia"/>
        </w:rPr>
      </w:pPr>
      <w:r>
        <w:rPr>
          <w:rFonts w:hint="eastAsia"/>
        </w:rPr>
        <w:t>对ROEX文件提供的数据完整度的评估公式如下：</w:t>
      </w:r>
    </w:p>
    <w:p w14:paraId="14B2AD36" w14:textId="25ABA631" w:rsidR="00D24E1F" w:rsidRPr="00D24E1F" w:rsidRDefault="00000000" w:rsidP="00D24E1F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DI=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/>
                </w:rPr>
                <m:t>×100%#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62DA1ED" w14:textId="5AB4958B" w:rsidR="00D24E1F" w:rsidRDefault="00D24E1F" w:rsidP="00D24E1F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 w:rsidR="00695396" w:rsidRPr="004F2946">
        <w:rPr>
          <w:rFonts w:hint="eastAsia"/>
        </w:rPr>
        <w:t>满足信噪比阈值</w:t>
      </w:r>
      <w:r w:rsidR="00695396">
        <w:rPr>
          <w:rFonts w:hint="eastAsia"/>
        </w:rPr>
        <w:t>的历元所</w:t>
      </w:r>
      <w:r>
        <w:rPr>
          <w:rFonts w:hint="eastAsia"/>
        </w:rPr>
        <w:t>理论数据总量</w:t>
      </w:r>
      <w:r w:rsidR="004F29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为该历元实际</w:t>
      </w:r>
      <w:r w:rsidR="004F2946">
        <w:rPr>
          <w:rFonts w:hint="eastAsia"/>
        </w:rPr>
        <w:t>观测</w:t>
      </w:r>
      <w:r>
        <w:rPr>
          <w:rFonts w:hint="eastAsia"/>
        </w:rPr>
        <w:t>数据总量</w:t>
      </w:r>
      <w:r w:rsidR="004F2946">
        <w:rPr>
          <w:rFonts w:hint="eastAsia"/>
        </w:rPr>
        <w:t>。若观测数据出现中断，</w:t>
      </w:r>
      <w:proofErr w:type="gramStart"/>
      <w:r w:rsidR="004F2946">
        <w:rPr>
          <w:rFonts w:hint="eastAsia"/>
        </w:rPr>
        <w:t>则数据</w:t>
      </w:r>
      <w:proofErr w:type="gramEnd"/>
      <w:r w:rsidR="004F2946">
        <w:rPr>
          <w:rFonts w:hint="eastAsia"/>
        </w:rPr>
        <w:t>完整度会下降。</w:t>
      </w:r>
    </w:p>
    <w:p w14:paraId="2758C3EF" w14:textId="77777777" w:rsidR="00610C38" w:rsidRPr="004F2946" w:rsidRDefault="00610C38" w:rsidP="000A5E28">
      <w:pPr>
        <w:rPr>
          <w:rFonts w:hint="eastAsia"/>
          <w:i/>
        </w:rPr>
      </w:pPr>
    </w:p>
    <w:p w14:paraId="7B9EF396" w14:textId="3C7D42F6" w:rsidR="000A5E28" w:rsidRDefault="000A5E28" w:rsidP="000A5E28">
      <w:pPr>
        <w:pStyle w:val="2"/>
        <w:rPr>
          <w:rFonts w:hint="eastAsia"/>
        </w:rPr>
      </w:pPr>
      <w:bookmarkStart w:id="15" w:name="_Toc195532010"/>
      <w:r>
        <w:rPr>
          <w:rFonts w:hint="eastAsia"/>
        </w:rPr>
        <w:lastRenderedPageBreak/>
        <w:t>4.</w:t>
      </w:r>
      <w:r w:rsidR="00D24E1F">
        <w:rPr>
          <w:rFonts w:hint="eastAsia"/>
        </w:rPr>
        <w:t>2</w:t>
      </w:r>
      <w:r>
        <w:rPr>
          <w:rFonts w:hint="eastAsia"/>
        </w:rPr>
        <w:t xml:space="preserve"> MW组合</w:t>
      </w:r>
      <w:bookmarkEnd w:id="15"/>
    </w:p>
    <w:p w14:paraId="05DFB745" w14:textId="6D8C760F" w:rsidR="000A5E28" w:rsidRDefault="00610C38" w:rsidP="000A5E28">
      <w:pPr>
        <w:rPr>
          <w:rFonts w:hint="eastAsia"/>
        </w:rPr>
      </w:pPr>
      <w:r>
        <w:tab/>
      </w:r>
      <w:r>
        <w:rPr>
          <w:rFonts w:hint="eastAsia"/>
        </w:rPr>
        <w:t>MW组合包含了双频的伪距和载波相位观测值，具体为载波相位值的宽巷组合和伪距值的窄巷组合之差：</w:t>
      </w:r>
    </w:p>
    <w:p w14:paraId="6F305045" w14:textId="7147B6DD" w:rsidR="00D24E1F" w:rsidRPr="00D24E1F" w:rsidRDefault="00000000" w:rsidP="00D24E1F">
      <w:pPr>
        <w:rPr>
          <w:rFonts w:hint="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MW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F9B499" w14:textId="584E068F" w:rsidR="00D24E1F" w:rsidRDefault="00D24E1F" w:rsidP="00D24E1F">
      <w:pPr>
        <w:rPr>
          <w:rFonts w:hint="eastAsia"/>
          <w:iCs/>
        </w:rPr>
      </w:pPr>
      <w:r>
        <w:rPr>
          <w:rFonts w:hint="eastAsia"/>
          <w:iCs/>
        </w:rPr>
        <w:t>MW组合能够消去电离层误差、几何误差、对流层误差和钟差，但仍受到伪距观测噪声和多路径效应的影响。</w:t>
      </w:r>
      <w:r w:rsidR="00E565E9">
        <w:rPr>
          <w:rFonts w:hint="eastAsia"/>
          <w:iCs/>
        </w:rPr>
        <w:t>模块中绘制的为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MW</m:t>
            </m:r>
          </m:sub>
        </m:sSub>
      </m:oMath>
      <w:r w:rsidR="00E565E9">
        <w:rPr>
          <w:rFonts w:hint="eastAsia"/>
          <w:iCs/>
        </w:rPr>
        <w:t>的一阶差分。</w:t>
      </w:r>
    </w:p>
    <w:p w14:paraId="79C0898B" w14:textId="526C3E91" w:rsidR="00D57AEF" w:rsidRDefault="00D57AEF" w:rsidP="00D57AEF">
      <w:pPr>
        <w:pStyle w:val="2"/>
        <w:rPr>
          <w:rFonts w:hint="eastAsia"/>
        </w:rPr>
      </w:pPr>
      <w:bookmarkStart w:id="16" w:name="_Toc195532011"/>
      <w:r>
        <w:rPr>
          <w:rFonts w:hint="eastAsia"/>
        </w:rPr>
        <w:t>4.3 GF组合</w:t>
      </w:r>
      <w:bookmarkEnd w:id="16"/>
    </w:p>
    <w:p w14:paraId="570BF5DB" w14:textId="53ED71C1" w:rsidR="00D57AEF" w:rsidRDefault="00D57AEF" w:rsidP="00D24E1F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消几何组合定义为：</w:t>
      </w:r>
    </w:p>
    <w:p w14:paraId="40F4D19A" w14:textId="485D8BB2" w:rsidR="00D57AEF" w:rsidRPr="00D57AEF" w:rsidRDefault="00000000" w:rsidP="00D57AEF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+(γ-1)I#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497C34D6" w14:textId="0DD068CE" w:rsidR="00D57AEF" w:rsidRDefault="00D57AEF" w:rsidP="00D57AEF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8D6A00">
        <w:rPr>
          <w:rFonts w:hint="eastAsia"/>
        </w:rPr>
        <w:t>上的电离层延迟值，对上式在相邻历元</w:t>
      </w:r>
      <m:oMath>
        <m:r>
          <w:rPr>
            <w:rFonts w:ascii="Cambria Math" w:hAnsi="Cambria Math"/>
          </w:rPr>
          <m:t>t</m:t>
        </m:r>
      </m:oMath>
      <w:r w:rsidR="008D6A00">
        <w:rPr>
          <w:rFonts w:hint="eastAsia"/>
        </w:rPr>
        <w:t>、</w:t>
      </w:r>
      <m:oMath>
        <m:r>
          <w:rPr>
            <w:rFonts w:ascii="Cambria Math" w:hAnsi="Cambria Math"/>
          </w:rPr>
          <m:t>t+1</m:t>
        </m:r>
      </m:oMath>
      <w:r w:rsidR="008D6A00">
        <w:rPr>
          <w:rFonts w:hint="eastAsia"/>
        </w:rPr>
        <w:t>处做一阶差分，得到</w:t>
      </w:r>
    </w:p>
    <w:p w14:paraId="4444197F" w14:textId="10261D92" w:rsidR="008D6A00" w:rsidRPr="008D6A00" w:rsidRDefault="00000000" w:rsidP="00D57AEF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GF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I#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3600040A" w14:textId="158AEC8A" w:rsidR="00027615" w:rsidRDefault="00027615" w:rsidP="00E565E9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为电离层延迟变化量，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分别为相应的整周模糊的变化量。</w:t>
      </w:r>
      <w:r w:rsidR="008918B7">
        <w:rPr>
          <w:rFonts w:hint="eastAsia"/>
        </w:rPr>
        <w:t>GF组合消除了</w:t>
      </w:r>
      <w:r w:rsidR="008918B7" w:rsidRPr="008918B7">
        <w:t>与几何距离有关的误差项，如卫星钟差、对流层延迟等</w:t>
      </w:r>
      <w:r w:rsidR="008918B7">
        <w:rPr>
          <w:rFonts w:hint="eastAsia"/>
        </w:rPr>
        <w:t>。</w:t>
      </w:r>
      <w:r>
        <w:rPr>
          <w:rFonts w:hint="eastAsia"/>
        </w:rPr>
        <w:t>电离层变化量较为平坦，</w:t>
      </w:r>
      <w:r w:rsidR="00E565E9">
        <w:rPr>
          <w:rFonts w:hint="eastAsia"/>
        </w:rPr>
        <w:t xml:space="preserve">故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GF</m:t>
            </m:r>
          </m:sub>
        </m:sSub>
      </m:oMath>
      <w:r w:rsidR="00E565E9">
        <w:rPr>
          <w:rFonts w:hint="eastAsia"/>
        </w:rPr>
        <w:t>可用于探测周跳。</w:t>
      </w:r>
      <w:r w:rsidR="00E565E9">
        <w:rPr>
          <w:rFonts w:hint="eastAsia"/>
          <w:iCs/>
        </w:rPr>
        <w:t>“</w:t>
      </w:r>
      <w:r w:rsidR="004F2946">
        <w:rPr>
          <w:rFonts w:hint="eastAsia"/>
          <w:iCs/>
        </w:rPr>
        <w:t>Data Combination</w:t>
      </w:r>
      <w:r w:rsidR="00E565E9">
        <w:rPr>
          <w:rFonts w:hint="eastAsia"/>
          <w:iCs/>
        </w:rPr>
        <w:t>”模块中绘制的为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GF</m:t>
            </m:r>
          </m:sub>
        </m:sSub>
      </m:oMath>
      <w:r w:rsidR="00E565E9">
        <w:rPr>
          <w:rFonts w:hint="eastAsia"/>
          <w:iCs/>
        </w:rPr>
        <w:t>。</w:t>
      </w:r>
    </w:p>
    <w:p w14:paraId="4E099290" w14:textId="2E3B0236" w:rsidR="00027615" w:rsidRDefault="00027615" w:rsidP="00027615">
      <w:pPr>
        <w:pStyle w:val="2"/>
        <w:rPr>
          <w:rFonts w:hint="eastAsia"/>
        </w:rPr>
      </w:pPr>
      <w:bookmarkStart w:id="17" w:name="_Toc195532012"/>
      <w:r>
        <w:rPr>
          <w:rFonts w:hint="eastAsia"/>
        </w:rPr>
        <w:t>4.</w:t>
      </w:r>
      <w:r w:rsidR="00356F9D">
        <w:rPr>
          <w:rFonts w:hint="eastAsia"/>
        </w:rPr>
        <w:t>4</w:t>
      </w:r>
      <w:r>
        <w:rPr>
          <w:rFonts w:hint="eastAsia"/>
        </w:rPr>
        <w:t xml:space="preserve"> </w:t>
      </w:r>
      <w:r w:rsidR="00A3036E">
        <w:rPr>
          <w:rFonts w:hint="eastAsia"/>
        </w:rPr>
        <w:t>IF</w:t>
      </w:r>
      <w:r>
        <w:rPr>
          <w:rFonts w:hint="eastAsia"/>
        </w:rPr>
        <w:t>组合</w:t>
      </w:r>
      <w:bookmarkEnd w:id="17"/>
    </w:p>
    <w:p w14:paraId="6224220C" w14:textId="66441848" w:rsidR="00027615" w:rsidRDefault="00E565E9" w:rsidP="00237542">
      <w:pPr>
        <w:ind w:firstLine="420"/>
        <w:rPr>
          <w:rFonts w:hint="eastAsia"/>
        </w:rPr>
      </w:pPr>
      <w:r>
        <w:rPr>
          <w:rFonts w:hint="eastAsia"/>
        </w:rPr>
        <w:t>利用电离层</w:t>
      </w:r>
      <w:proofErr w:type="gramStart"/>
      <w:r>
        <w:rPr>
          <w:rFonts w:hint="eastAsia"/>
        </w:rPr>
        <w:t>一阶项与</w:t>
      </w:r>
      <w:proofErr w:type="gramEnd"/>
      <w:r>
        <w:rPr>
          <w:rFonts w:hint="eastAsia"/>
        </w:rPr>
        <w:t>信号频率平方成反比的形式，得到消电离层组合</w:t>
      </w:r>
      <w:r w:rsidR="00237542">
        <w:rPr>
          <w:rFonts w:hint="eastAsia"/>
        </w:rPr>
        <w:t>：</w:t>
      </w:r>
    </w:p>
    <w:p w14:paraId="2B2D749F" w14:textId="5CEC00D4" w:rsidR="00237542" w:rsidRPr="00D819B9" w:rsidRDefault="00000000" w:rsidP="00237542">
      <w:pPr>
        <w:ind w:firstLine="42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#(6)</m:t>
              </m:r>
            </m:e>
          </m:eqArr>
        </m:oMath>
      </m:oMathPara>
    </w:p>
    <w:p w14:paraId="2719A57E" w14:textId="2F9D073F" w:rsidR="00D24E1F" w:rsidRPr="00B7156F" w:rsidRDefault="00B7156F" w:rsidP="000A5E28">
      <w:pPr>
        <w:rPr>
          <w:rFonts w:hint="eastAsia"/>
          <w:iCs/>
        </w:rPr>
      </w:pPr>
      <w:r>
        <w:rPr>
          <w:rFonts w:hint="eastAsia"/>
        </w:rPr>
        <w:t>IF组合消除了电离层一阶项，可结合GF组合结果对数据进行综合考察。</w:t>
      </w:r>
      <w:r>
        <w:rPr>
          <w:rFonts w:hint="eastAsia"/>
          <w:iCs/>
        </w:rPr>
        <w:t>“</w:t>
      </w:r>
      <w:r w:rsidR="004F2946">
        <w:rPr>
          <w:rFonts w:hint="eastAsia"/>
          <w:iCs/>
        </w:rPr>
        <w:t>Data Combination</w:t>
      </w:r>
      <w:r>
        <w:rPr>
          <w:rFonts w:hint="eastAsia"/>
          <w:iCs/>
        </w:rPr>
        <w:t>”模块中绘制的为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</m:oMath>
      <w:r>
        <w:rPr>
          <w:rFonts w:hint="eastAsia"/>
        </w:rPr>
        <w:t>的一阶差分。</w:t>
      </w:r>
      <w:r w:rsidR="008918B7">
        <w:rPr>
          <w:rFonts w:hint="eastAsia"/>
        </w:rPr>
        <w:t>IF组合未能消除卫星钟差的影响。当接收到的两个信号频率相同时，比如GPS系统的L2X</w:t>
      </w:r>
      <w:r w:rsidR="002443BE">
        <w:rPr>
          <w:rFonts w:hint="eastAsia"/>
        </w:rPr>
        <w:t>信号和L2W信号，PyROEX自动将IF组合替换为GF组合。</w:t>
      </w:r>
    </w:p>
    <w:p w14:paraId="26E61F94" w14:textId="5C3F3334" w:rsidR="00356F9D" w:rsidRDefault="00356F9D" w:rsidP="00356F9D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DIF</w:t>
      </w:r>
      <w:r>
        <w:rPr>
          <w:rFonts w:hint="eastAsia"/>
        </w:rPr>
        <w:t>组合</w:t>
      </w:r>
    </w:p>
    <w:p w14:paraId="45E7A977" w14:textId="36A997C4" w:rsidR="004F2946" w:rsidRDefault="004F2946" w:rsidP="004F2946">
      <w:r>
        <w:tab/>
      </w:r>
      <w:r>
        <w:rPr>
          <w:rFonts w:hint="eastAsia"/>
        </w:rPr>
        <w:t>DIF组合为OCC载波相位和REF载波相位的单差（同频点）：</w:t>
      </w:r>
    </w:p>
    <w:bookmarkStart w:id="18" w:name="_Hlk204439421"/>
    <w:p w14:paraId="1425FBDF" w14:textId="500DB00C" w:rsidR="004F2946" w:rsidRPr="004F2946" w:rsidRDefault="004F2946" w:rsidP="004F294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DIF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bookmarkEnd w:id="18"/>
    <w:p w14:paraId="2790FC9E" w14:textId="016167EA" w:rsidR="004F2946" w:rsidRPr="004F2946" w:rsidRDefault="004F2946" w:rsidP="004F2946">
      <w:pPr>
        <w:rPr>
          <w:rFonts w:hint="eastAsia"/>
        </w:rPr>
      </w:pPr>
      <w:r>
        <w:rPr>
          <w:rFonts w:hint="eastAsia"/>
        </w:rPr>
        <w:t>DIF组合消去了卫星钟差等影响。</w:t>
      </w:r>
      <w:r>
        <w:rPr>
          <w:rFonts w:hint="eastAsia"/>
          <w:iCs/>
        </w:rPr>
        <w:t>“Data Combination”模块中绘制的为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DIF</m:t>
            </m:r>
          </m:sub>
        </m:sSub>
      </m:oMath>
      <w:r>
        <w:rPr>
          <w:rFonts w:hint="eastAsia"/>
        </w:rPr>
        <w:t>的一阶差分。</w:t>
      </w:r>
    </w:p>
    <w:p w14:paraId="671A25AC" w14:textId="77777777" w:rsidR="004F2946" w:rsidRPr="004F2946" w:rsidRDefault="004F2946" w:rsidP="004F2946">
      <w:pPr>
        <w:rPr>
          <w:rFonts w:hint="eastAsia"/>
        </w:rPr>
      </w:pPr>
    </w:p>
    <w:p w14:paraId="5F067C73" w14:textId="77777777" w:rsidR="00610C38" w:rsidRPr="000A5E28" w:rsidRDefault="00610C38" w:rsidP="000A5E28">
      <w:pPr>
        <w:rPr>
          <w:rFonts w:hint="eastAsia"/>
        </w:rPr>
      </w:pPr>
    </w:p>
    <w:p w14:paraId="532E118D" w14:textId="77777777" w:rsidR="000A5E28" w:rsidRPr="000A5E28" w:rsidRDefault="000A5E28" w:rsidP="000A5E28">
      <w:pPr>
        <w:rPr>
          <w:rFonts w:hint="eastAsia"/>
        </w:rPr>
      </w:pPr>
    </w:p>
    <w:p w14:paraId="59303B40" w14:textId="77777777" w:rsidR="0010190D" w:rsidRPr="0010190D" w:rsidRDefault="0010190D" w:rsidP="0010190D">
      <w:pPr>
        <w:rPr>
          <w:rFonts w:hint="eastAsia"/>
        </w:rPr>
      </w:pPr>
    </w:p>
    <w:p w14:paraId="3592B569" w14:textId="77777777" w:rsidR="00915DA8" w:rsidRPr="00915DA8" w:rsidRDefault="00915DA8" w:rsidP="00915DA8">
      <w:pPr>
        <w:rPr>
          <w:rFonts w:hint="eastAsia"/>
        </w:rPr>
      </w:pPr>
    </w:p>
    <w:p w14:paraId="42ADC21A" w14:textId="77777777" w:rsidR="00915DA8" w:rsidRPr="00915DA8" w:rsidRDefault="00915DA8" w:rsidP="00915DA8">
      <w:pPr>
        <w:rPr>
          <w:rFonts w:hint="eastAsia"/>
        </w:rPr>
      </w:pPr>
    </w:p>
    <w:p w14:paraId="59B02C0A" w14:textId="0E630D08" w:rsidR="00915DA8" w:rsidRPr="00915DA8" w:rsidRDefault="00915DA8" w:rsidP="00915DA8">
      <w:pPr>
        <w:rPr>
          <w:rFonts w:hint="eastAsia"/>
        </w:rPr>
      </w:pPr>
    </w:p>
    <w:p w14:paraId="1CD7408A" w14:textId="77777777" w:rsidR="00915DA8" w:rsidRDefault="00915DA8" w:rsidP="00915DA8">
      <w:pPr>
        <w:rPr>
          <w:rFonts w:hint="eastAsia"/>
        </w:rPr>
      </w:pPr>
    </w:p>
    <w:p w14:paraId="7437752F" w14:textId="77777777" w:rsidR="00915DA8" w:rsidRPr="004D0E04" w:rsidRDefault="00915DA8" w:rsidP="004D0E04">
      <w:pPr>
        <w:rPr>
          <w:rFonts w:hint="eastAsia"/>
        </w:rPr>
      </w:pPr>
    </w:p>
    <w:p w14:paraId="1C7F7E36" w14:textId="77777777" w:rsidR="004D0E04" w:rsidRPr="00F7716A" w:rsidRDefault="004D0E04" w:rsidP="004D0E04">
      <w:pPr>
        <w:rPr>
          <w:rFonts w:hint="eastAsia"/>
        </w:rPr>
      </w:pPr>
    </w:p>
    <w:sectPr w:rsidR="004D0E04" w:rsidRPr="00F7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4FF9B" w14:textId="77777777" w:rsidR="00410790" w:rsidRDefault="00410790" w:rsidP="00A70B00">
      <w:pPr>
        <w:rPr>
          <w:rFonts w:hint="eastAsia"/>
        </w:rPr>
      </w:pPr>
      <w:r>
        <w:separator/>
      </w:r>
    </w:p>
  </w:endnote>
  <w:endnote w:type="continuationSeparator" w:id="0">
    <w:p w14:paraId="10118146" w14:textId="77777777" w:rsidR="00410790" w:rsidRDefault="00410790" w:rsidP="00A70B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3EFBD" w14:textId="77777777" w:rsidR="00410790" w:rsidRDefault="00410790" w:rsidP="00A70B00">
      <w:pPr>
        <w:rPr>
          <w:rFonts w:hint="eastAsia"/>
        </w:rPr>
      </w:pPr>
      <w:r>
        <w:separator/>
      </w:r>
    </w:p>
  </w:footnote>
  <w:footnote w:type="continuationSeparator" w:id="0">
    <w:p w14:paraId="2265B4D2" w14:textId="77777777" w:rsidR="00410790" w:rsidRDefault="00410790" w:rsidP="00A70B00">
      <w:pPr>
        <w:rPr>
          <w:rFonts w:hint="eastAsia"/>
        </w:rPr>
      </w:pPr>
      <w:r>
        <w:continuationSeparator/>
      </w:r>
    </w:p>
  </w:footnote>
  <w:footnote w:id="1">
    <w:p w14:paraId="1588229A" w14:textId="77777777" w:rsidR="00DB3E33" w:rsidRDefault="00DB3E33" w:rsidP="00DB3E33">
      <w:pPr>
        <w:pStyle w:val="af5"/>
        <w:ind w:firstLine="360"/>
      </w:pPr>
      <w:r>
        <w:rPr>
          <w:rStyle w:val="af7"/>
        </w:rPr>
        <w:footnoteRef/>
      </w:r>
      <w:r>
        <w:t xml:space="preserve"> </w:t>
      </w:r>
      <w:r w:rsidRPr="000E5ADB">
        <w:t>https://irowg.org/workshops/irowg-8/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04B"/>
    <w:multiLevelType w:val="multilevel"/>
    <w:tmpl w:val="6A22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70D64"/>
    <w:multiLevelType w:val="hybridMultilevel"/>
    <w:tmpl w:val="D14A97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BA1827"/>
    <w:multiLevelType w:val="hybridMultilevel"/>
    <w:tmpl w:val="6B2603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6B1547"/>
    <w:multiLevelType w:val="hybridMultilevel"/>
    <w:tmpl w:val="13E4800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E665DEF"/>
    <w:multiLevelType w:val="hybridMultilevel"/>
    <w:tmpl w:val="826CCB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2135511">
    <w:abstractNumId w:val="0"/>
  </w:num>
  <w:num w:numId="2" w16cid:durableId="1978221637">
    <w:abstractNumId w:val="1"/>
  </w:num>
  <w:num w:numId="3" w16cid:durableId="869298125">
    <w:abstractNumId w:val="2"/>
  </w:num>
  <w:num w:numId="4" w16cid:durableId="644822422">
    <w:abstractNumId w:val="3"/>
  </w:num>
  <w:num w:numId="5" w16cid:durableId="382414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FF"/>
    <w:rsid w:val="00003E98"/>
    <w:rsid w:val="00013E1E"/>
    <w:rsid w:val="00027615"/>
    <w:rsid w:val="00045277"/>
    <w:rsid w:val="000859D4"/>
    <w:rsid w:val="00094B19"/>
    <w:rsid w:val="000A5E28"/>
    <w:rsid w:val="0010190D"/>
    <w:rsid w:val="001328F5"/>
    <w:rsid w:val="00135841"/>
    <w:rsid w:val="001361DA"/>
    <w:rsid w:val="0016600B"/>
    <w:rsid w:val="00170E10"/>
    <w:rsid w:val="001729EB"/>
    <w:rsid w:val="0018208E"/>
    <w:rsid w:val="00184E4F"/>
    <w:rsid w:val="001A4B7B"/>
    <w:rsid w:val="001C3F0B"/>
    <w:rsid w:val="001C741A"/>
    <w:rsid w:val="001F261E"/>
    <w:rsid w:val="002063E9"/>
    <w:rsid w:val="00234E58"/>
    <w:rsid w:val="00237542"/>
    <w:rsid w:val="002443BE"/>
    <w:rsid w:val="0025324E"/>
    <w:rsid w:val="002F28D4"/>
    <w:rsid w:val="002F3F0C"/>
    <w:rsid w:val="002F411D"/>
    <w:rsid w:val="003272A8"/>
    <w:rsid w:val="00356F9D"/>
    <w:rsid w:val="00376EA6"/>
    <w:rsid w:val="00383D60"/>
    <w:rsid w:val="003B50C5"/>
    <w:rsid w:val="003C6FFF"/>
    <w:rsid w:val="003C7381"/>
    <w:rsid w:val="003F65FC"/>
    <w:rsid w:val="00410790"/>
    <w:rsid w:val="004245E5"/>
    <w:rsid w:val="00460891"/>
    <w:rsid w:val="004D0E04"/>
    <w:rsid w:val="004D126F"/>
    <w:rsid w:val="004F2946"/>
    <w:rsid w:val="005022B6"/>
    <w:rsid w:val="005A1082"/>
    <w:rsid w:val="005A615F"/>
    <w:rsid w:val="006056AB"/>
    <w:rsid w:val="0060608B"/>
    <w:rsid w:val="00610C38"/>
    <w:rsid w:val="00616F1F"/>
    <w:rsid w:val="00624A28"/>
    <w:rsid w:val="0063117A"/>
    <w:rsid w:val="006577FA"/>
    <w:rsid w:val="00657C4F"/>
    <w:rsid w:val="006848FA"/>
    <w:rsid w:val="0069209D"/>
    <w:rsid w:val="00695396"/>
    <w:rsid w:val="006B1AF1"/>
    <w:rsid w:val="006B7D22"/>
    <w:rsid w:val="006F52B3"/>
    <w:rsid w:val="006F7D9A"/>
    <w:rsid w:val="0070139A"/>
    <w:rsid w:val="00701F67"/>
    <w:rsid w:val="0072009E"/>
    <w:rsid w:val="007803CE"/>
    <w:rsid w:val="007870A2"/>
    <w:rsid w:val="007D65D8"/>
    <w:rsid w:val="007E4F81"/>
    <w:rsid w:val="008463C7"/>
    <w:rsid w:val="008566FD"/>
    <w:rsid w:val="0088304A"/>
    <w:rsid w:val="00885F74"/>
    <w:rsid w:val="00890CCA"/>
    <w:rsid w:val="008918B7"/>
    <w:rsid w:val="008D6A00"/>
    <w:rsid w:val="00915DA8"/>
    <w:rsid w:val="009346AF"/>
    <w:rsid w:val="0096446C"/>
    <w:rsid w:val="00965187"/>
    <w:rsid w:val="009759EC"/>
    <w:rsid w:val="009903B1"/>
    <w:rsid w:val="00995056"/>
    <w:rsid w:val="009B37A3"/>
    <w:rsid w:val="009C15FF"/>
    <w:rsid w:val="00A0135E"/>
    <w:rsid w:val="00A21678"/>
    <w:rsid w:val="00A3036E"/>
    <w:rsid w:val="00A54A12"/>
    <w:rsid w:val="00A61948"/>
    <w:rsid w:val="00A70B00"/>
    <w:rsid w:val="00AB3E25"/>
    <w:rsid w:val="00AC6E04"/>
    <w:rsid w:val="00AE12EF"/>
    <w:rsid w:val="00B071D4"/>
    <w:rsid w:val="00B40B3A"/>
    <w:rsid w:val="00B41219"/>
    <w:rsid w:val="00B63371"/>
    <w:rsid w:val="00B7156F"/>
    <w:rsid w:val="00B95AC8"/>
    <w:rsid w:val="00BF51E5"/>
    <w:rsid w:val="00C955A4"/>
    <w:rsid w:val="00CA550C"/>
    <w:rsid w:val="00CE2EB5"/>
    <w:rsid w:val="00D21623"/>
    <w:rsid w:val="00D24E1F"/>
    <w:rsid w:val="00D40235"/>
    <w:rsid w:val="00D53E51"/>
    <w:rsid w:val="00D57AEF"/>
    <w:rsid w:val="00D80E64"/>
    <w:rsid w:val="00D819B9"/>
    <w:rsid w:val="00DB3E33"/>
    <w:rsid w:val="00DB4CE2"/>
    <w:rsid w:val="00DC05CF"/>
    <w:rsid w:val="00E565E9"/>
    <w:rsid w:val="00E60CD2"/>
    <w:rsid w:val="00EF01BC"/>
    <w:rsid w:val="00F11FB3"/>
    <w:rsid w:val="00F147A7"/>
    <w:rsid w:val="00F21D5F"/>
    <w:rsid w:val="00F236BD"/>
    <w:rsid w:val="00F259E1"/>
    <w:rsid w:val="00F73BC5"/>
    <w:rsid w:val="00F7716A"/>
    <w:rsid w:val="00F9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EEC5F"/>
  <w15:chartTrackingRefBased/>
  <w15:docId w15:val="{42485387-C658-407D-938E-BDFDC2F8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15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C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5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5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5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5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5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5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5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5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15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15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15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15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15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15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15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5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15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15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15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15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15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15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15F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qFormat/>
    <w:rsid w:val="00D4023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4023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40235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02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023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02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Placeholder Text"/>
    <w:basedOn w:val="a0"/>
    <w:uiPriority w:val="99"/>
    <w:semiHidden/>
    <w:rsid w:val="000A5E28"/>
    <w:rPr>
      <w:color w:val="666666"/>
    </w:rPr>
  </w:style>
  <w:style w:type="paragraph" w:styleId="af1">
    <w:name w:val="header"/>
    <w:basedOn w:val="a"/>
    <w:link w:val="af2"/>
    <w:uiPriority w:val="99"/>
    <w:unhideWhenUsed/>
    <w:rsid w:val="00A70B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70B00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70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70B00"/>
    <w:rPr>
      <w:sz w:val="18"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DB3E33"/>
    <w:pPr>
      <w:snapToGrid w:val="0"/>
      <w:ind w:firstLineChars="200" w:firstLine="48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DB3E33"/>
    <w:rPr>
      <w:rFonts w:ascii="Times New Roman" w:eastAsia="宋体" w:hAnsi="Times New Roman" w:cs="Times New Roman"/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DB3E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zhangmingyi24@mails.ucas.ac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10</Pages>
  <Words>1006</Words>
  <Characters>5535</Characters>
  <Application>Microsoft Office Word</Application>
  <DocSecurity>0</DocSecurity>
  <Lines>120</Lines>
  <Paragraphs>50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名艺 张</dc:creator>
  <cp:keywords/>
  <dc:description/>
  <cp:lastModifiedBy>名艺 张</cp:lastModifiedBy>
  <cp:revision>44</cp:revision>
  <cp:lastPrinted>2025-04-14T06:06:00Z</cp:lastPrinted>
  <dcterms:created xsi:type="dcterms:W3CDTF">2025-02-24T08:50:00Z</dcterms:created>
  <dcterms:modified xsi:type="dcterms:W3CDTF">2025-07-26T08:24:00Z</dcterms:modified>
</cp:coreProperties>
</file>