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EMPLOYEE POLICY HANDBOOK</w:t>
      </w:r>
    </w:p>
    <w:p>
      <w:pPr>
        <w:jc w:val="center"/>
      </w:pPr>
      <w:r>
        <w:rPr>
          <w:sz w:val="32"/>
        </w:rPr>
        <w:t>Northstar Analytics Ltd.</w:t>
      </w:r>
    </w:p>
    <w:p>
      <w:pPr>
        <w:jc w:val="center"/>
      </w:pPr>
      <w:r>
        <w:rPr>
          <w:sz w:val="22"/>
        </w:rPr>
        <w:t>Version 1.0 | Effective 1 October 2026</w:t>
      </w:r>
    </w:p>
    <w:p>
      <w:pPr>
        <w:jc w:val="center"/>
      </w:pPr>
      <w:r>
        <w:rPr>
          <w:i/>
          <w:sz w:val="20"/>
        </w:rPr>
        <w:t>Synthetic policy document created for AI/RAG testing.</w:t>
      </w:r>
    </w:p>
    <w:p/>
    <w:p>
      <w:pPr>
        <w:jc w:val="center"/>
      </w:pPr>
      <w:r>
        <w:rPr>
          <w:b/>
        </w:rPr>
        <w:t>Purpose</w:t>
      </w:r>
      <w:r>
        <w:br/>
        <w:t>This handbook defines workplace expectations, employee benefits, expense rules, information-security requirements, and review procedures. It is intended to provide clear, searchable policy statements for employees and managers.</w:t>
      </w:r>
    </w:p>
    <w:p>
      <w:r>
        <w:br w:type="page"/>
      </w:r>
    </w:p>
    <w:p>
      <w:pPr>
        <w:pStyle w:val="Heading1"/>
      </w:pPr>
      <w:r>
        <w:t>Quick Reference: Key Policy Limits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Policy Area</w:t>
            </w:r>
          </w:p>
        </w:tc>
        <w:tc>
          <w:tcPr>
            <w:tcW w:type="dxa" w:w="3312"/>
          </w:tcPr>
          <w:p>
            <w:r>
              <w:t>Rule / Limit</w:t>
            </w:r>
          </w:p>
        </w:tc>
        <w:tc>
          <w:tcPr>
            <w:tcW w:type="dxa" w:w="3312"/>
          </w:tcPr>
          <w:p>
            <w:r>
              <w:t>Required Action</w:t>
            </w:r>
          </w:p>
        </w:tc>
      </w:tr>
      <w:tr>
        <w:tc>
          <w:tcPr>
            <w:tcW w:type="dxa" w:w="3312"/>
            <w:vAlign w:val="center"/>
          </w:tcPr>
          <w:p>
            <w:r>
              <w:t>Meal expenses</w:t>
            </w:r>
          </w:p>
        </w:tc>
        <w:tc>
          <w:tcPr>
            <w:tcW w:type="dxa" w:w="3312"/>
            <w:vAlign w:val="center"/>
          </w:tcPr>
          <w:p>
            <w:r>
              <w:t>Up to $100 per person per day</w:t>
            </w:r>
          </w:p>
        </w:tc>
        <w:tc>
          <w:tcPr>
            <w:tcW w:type="dxa" w:w="3312"/>
            <w:vAlign w:val="center"/>
          </w:tcPr>
          <w:p>
            <w:r>
              <w:t>Manager approval required above $100</w:t>
            </w:r>
          </w:p>
        </w:tc>
      </w:tr>
      <w:tr>
        <w:tc>
          <w:tcPr>
            <w:tcW w:type="dxa" w:w="3312"/>
            <w:vAlign w:val="center"/>
          </w:tcPr>
          <w:p>
            <w:r>
              <w:t>Hotel expenses</w:t>
            </w:r>
          </w:p>
        </w:tc>
        <w:tc>
          <w:tcPr>
            <w:tcW w:type="dxa" w:w="3312"/>
            <w:vAlign w:val="center"/>
          </w:tcPr>
          <w:p>
            <w:r>
              <w:t>Up to $220 per night</w:t>
            </w:r>
          </w:p>
        </w:tc>
        <w:tc>
          <w:tcPr>
            <w:tcW w:type="dxa" w:w="3312"/>
            <w:vAlign w:val="center"/>
          </w:tcPr>
          <w:p>
            <w:r>
              <w:t>Director approval required above $220</w:t>
            </w:r>
          </w:p>
        </w:tc>
      </w:tr>
      <w:tr>
        <w:tc>
          <w:tcPr>
            <w:tcW w:type="dxa" w:w="3312"/>
            <w:vAlign w:val="center"/>
          </w:tcPr>
          <w:p>
            <w:r>
              <w:t>Taxi / rideshare</w:t>
            </w:r>
          </w:p>
        </w:tc>
        <w:tc>
          <w:tcPr>
            <w:tcW w:type="dxa" w:w="3312"/>
            <w:vAlign w:val="center"/>
          </w:tcPr>
          <w:p>
            <w:r>
              <w:t>Up to $80 per trip</w:t>
            </w:r>
          </w:p>
        </w:tc>
        <w:tc>
          <w:tcPr>
            <w:tcW w:type="dxa" w:w="3312"/>
            <w:vAlign w:val="center"/>
          </w:tcPr>
          <w:p>
            <w:r>
              <w:t>Receipt required above $25</w:t>
            </w:r>
          </w:p>
        </w:tc>
      </w:tr>
      <w:tr>
        <w:tc>
          <w:tcPr>
            <w:tcW w:type="dxa" w:w="3312"/>
            <w:vAlign w:val="center"/>
          </w:tcPr>
          <w:p>
            <w:r>
              <w:t>Remote work</w:t>
            </w:r>
          </w:p>
        </w:tc>
        <w:tc>
          <w:tcPr>
            <w:tcW w:type="dxa" w:w="3312"/>
            <w:vAlign w:val="center"/>
          </w:tcPr>
          <w:p>
            <w:r>
              <w:t>Up to 2 days per week</w:t>
            </w:r>
          </w:p>
        </w:tc>
        <w:tc>
          <w:tcPr>
            <w:tcW w:type="dxa" w:w="3312"/>
            <w:vAlign w:val="center"/>
          </w:tcPr>
          <w:p>
            <w:r>
              <w:t>Manager approval required for more</w:t>
            </w:r>
          </w:p>
        </w:tc>
      </w:tr>
      <w:tr>
        <w:tc>
          <w:tcPr>
            <w:tcW w:type="dxa" w:w="3312"/>
            <w:vAlign w:val="center"/>
          </w:tcPr>
          <w:p>
            <w:r>
              <w:t>Annual leave</w:t>
            </w:r>
          </w:p>
        </w:tc>
        <w:tc>
          <w:tcPr>
            <w:tcW w:type="dxa" w:w="3312"/>
            <w:vAlign w:val="center"/>
          </w:tcPr>
          <w:p>
            <w:r>
              <w:t>20 working days per year</w:t>
            </w:r>
          </w:p>
        </w:tc>
        <w:tc>
          <w:tcPr>
            <w:tcW w:type="dxa" w:w="3312"/>
            <w:vAlign w:val="center"/>
          </w:tcPr>
          <w:p>
            <w:r>
              <w:t>Submit request at least 5 working days in advance</w:t>
            </w:r>
          </w:p>
        </w:tc>
      </w:tr>
      <w:tr>
        <w:tc>
          <w:tcPr>
            <w:tcW w:type="dxa" w:w="3312"/>
            <w:vAlign w:val="center"/>
          </w:tcPr>
          <w:p>
            <w:r>
              <w:t>Sick leave</w:t>
            </w:r>
          </w:p>
        </w:tc>
        <w:tc>
          <w:tcPr>
            <w:tcW w:type="dxa" w:w="3312"/>
            <w:vAlign w:val="center"/>
          </w:tcPr>
          <w:p>
            <w:r>
              <w:t>Up to 10 paid working days per year</w:t>
            </w:r>
          </w:p>
        </w:tc>
        <w:tc>
          <w:tcPr>
            <w:tcW w:type="dxa" w:w="3312"/>
            <w:vAlign w:val="center"/>
          </w:tcPr>
          <w:p>
            <w:r>
              <w:t>Medical certificate after 2 consecutive days</w:t>
            </w:r>
          </w:p>
        </w:tc>
      </w:tr>
      <w:tr>
        <w:tc>
          <w:tcPr>
            <w:tcW w:type="dxa" w:w="3312"/>
            <w:vAlign w:val="center"/>
          </w:tcPr>
          <w:p>
            <w:r>
              <w:t>Training reimbursement</w:t>
            </w:r>
          </w:p>
        </w:tc>
        <w:tc>
          <w:tcPr>
            <w:tcW w:type="dxa" w:w="3312"/>
            <w:vAlign w:val="center"/>
          </w:tcPr>
          <w:p>
            <w:r>
              <w:t>Up to $1,500 per year</w:t>
            </w:r>
          </w:p>
        </w:tc>
        <w:tc>
          <w:tcPr>
            <w:tcW w:type="dxa" w:w="3312"/>
            <w:vAlign w:val="center"/>
          </w:tcPr>
          <w:p>
            <w:r>
              <w:t>Pre-approval required</w:t>
            </w:r>
          </w:p>
        </w:tc>
      </w:tr>
    </w:tbl>
    <w:p>
      <w:pPr>
        <w:pStyle w:val="Heading1"/>
      </w:pPr>
      <w:r>
        <w:t>1. Working Hours and Attendance</w:t>
      </w:r>
    </w:p>
    <w:p>
      <w:r>
        <w:t>Standard working hours are 9:00 AM to 5:00 PM, Monday through Friday, with a one-hour lunch break. Employees are expected to be available during core collaboration hours from 10:00 AM to 3:00 PM unless an approved schedule applies.</w:t>
      </w:r>
    </w:p>
    <w:p>
      <w:pPr>
        <w:pStyle w:val="ListBullet"/>
      </w:pPr>
      <w:r>
        <w:t>Employees should notify their manager as soon as possible when they expect to be late or absent.</w:t>
      </w:r>
    </w:p>
    <w:p>
      <w:pPr>
        <w:pStyle w:val="ListBullet"/>
      </w:pPr>
      <w:r>
        <w:t>Three unexcused late arrivals within a rolling 30-day period may trigger an attendance review.</w:t>
      </w:r>
    </w:p>
    <w:p>
      <w:pPr>
        <w:pStyle w:val="ListBullet"/>
      </w:pPr>
      <w:r>
        <w:t>Repeated unreported absences may be treated as misconduct and escalated to Human Resources.</w:t>
      </w:r>
    </w:p>
    <w:p>
      <w:pPr>
        <w:pStyle w:val="ListBullet"/>
      </w:pPr>
      <w:r>
        <w:t>Overtime must be approved in advance by the employee's manager unless there is an emergency.</w:t>
      </w:r>
    </w:p>
    <w:p>
      <w:pPr>
        <w:pStyle w:val="Heading1"/>
      </w:pPr>
      <w:r>
        <w:t>2. Remote and Hybrid Work</w:t>
      </w:r>
    </w:p>
    <w:p>
      <w:r>
        <w:t>Eligible employees may work remotely for up to two days per week. The remaining working days should normally be performed from the assigned office or approved client site.</w:t>
      </w:r>
    </w:p>
    <w:p>
      <w:pPr>
        <w:pStyle w:val="ListBullet"/>
      </w:pPr>
      <w:r>
        <w:t>More than two remote days in a week requires written manager approval.</w:t>
      </w:r>
    </w:p>
    <w:p>
      <w:pPr>
        <w:pStyle w:val="ListBullet"/>
      </w:pPr>
      <w:r>
        <w:t>Employees working remotely must remain reachable through company communication tools during working hours.</w:t>
      </w:r>
    </w:p>
    <w:p>
      <w:pPr>
        <w:pStyle w:val="ListBullet"/>
      </w:pPr>
      <w:r>
        <w:t>Confidential company information must not be displayed or discussed in public places where unauthorized people may view or hear it.</w:t>
      </w:r>
    </w:p>
    <w:p>
      <w:pPr>
        <w:pStyle w:val="ListBullet"/>
      </w:pPr>
      <w:r>
        <w:t>Company laptops must use the approved VPN when accessing internal systems from outside company premises.</w:t>
      </w:r>
    </w:p>
    <w:p>
      <w:pPr>
        <w:pStyle w:val="Heading1"/>
      </w:pPr>
      <w:r>
        <w:t>3. Leave and Time Off</w:t>
      </w:r>
    </w:p>
    <w:p>
      <w:pPr>
        <w:pStyle w:val="Heading2"/>
      </w:pPr>
      <w:r>
        <w:t>3.1 Annual Leave</w:t>
      </w:r>
    </w:p>
    <w:p>
      <w:r>
        <w:t>Full-time employees receive 20 working days of paid annual leave per calendar year. Leave requests should normally be submitted at least five working days before the requested start date. Managers may decline or reschedule leave when critical operational coverage is required.</w:t>
      </w:r>
    </w:p>
    <w:p>
      <w:pPr>
        <w:pStyle w:val="Heading2"/>
      </w:pPr>
      <w:r>
        <w:t>3.2 Sick Leave</w:t>
      </w:r>
    </w:p>
    <w:p>
      <w:r>
        <w:t>Employees may use up to 10 paid sick days per calendar year. A medical certificate is required when sick leave exceeds two consecutive working days. Employees should notify their manager before the normal start of the workday whenever reasonably possible.</w:t>
      </w:r>
    </w:p>
    <w:p>
      <w:pPr>
        <w:pStyle w:val="Heading2"/>
      </w:pPr>
      <w:r>
        <w:t>3.3 Emergency Leave</w:t>
      </w:r>
    </w:p>
    <w:p>
      <w:r>
        <w:t>Up to three working days of emergency leave may be granted for urgent family or personal circumstances. Additional time may be approved by Human Resources based on the situation.</w:t>
      </w:r>
    </w:p>
    <w:p>
      <w:pPr>
        <w:pStyle w:val="Heading1"/>
      </w:pPr>
      <w:r>
        <w:t>4. Business Expenses and Reimbursement</w:t>
      </w:r>
    </w:p>
    <w:p>
      <w:r>
        <w:t>Business expenses must be reasonable, necessary, and directly related to approved company activity. Employees should submit expense claims within 15 calendar days of the transaction whenever possible.</w:t>
      </w:r>
    </w:p>
    <w:p>
      <w:pPr>
        <w:pStyle w:val="Heading2"/>
      </w:pPr>
      <w:r>
        <w:t>4.1 Meals</w:t>
      </w:r>
    </w:p>
    <w:p>
      <w:r>
        <w:t>Meal expenses are reimbursable up to $100 per person per day during approved business travel or authorized client activity. Any meal expense above $100 requires manager approval before reimbursement. Alcohol is not reimbursable unless specifically approved for a formal client event.</w:t>
      </w:r>
    </w:p>
    <w:p>
      <w:pPr>
        <w:pStyle w:val="Heading2"/>
      </w:pPr>
      <w:r>
        <w:t>4.2 Hotels</w:t>
      </w:r>
    </w:p>
    <w:p>
      <w:r>
        <w:t>Hotel accommodation is reimbursable up to $220 per night before taxes. A room rate above $220 per night requires director approval unless no reasonable alternative is available in the destination area.</w:t>
      </w:r>
    </w:p>
    <w:p>
      <w:pPr>
        <w:pStyle w:val="Heading2"/>
      </w:pPr>
      <w:r>
        <w:t>4.3 Ground Transportation</w:t>
      </w:r>
    </w:p>
    <w:p>
      <w:r>
        <w:t>Taxi and rideshare expenses are reimbursable up to $80 per trip when used for approved business travel. A receipt is required for any ground-transport expense above $25.</w:t>
      </w:r>
    </w:p>
    <w:p>
      <w:pPr>
        <w:pStyle w:val="Heading2"/>
      </w:pPr>
      <w:r>
        <w:t>4.4 Receipts and Missing Documentation</w:t>
      </w:r>
    </w:p>
    <w:p>
      <w:r>
        <w:t>Receipts are required for individual expenses of $25 or more. When a receipt is unavailable, the employee must provide a written explanation and obtain manager approval before the expense can be reimbursed.</w:t>
      </w:r>
    </w:p>
    <w:p>
      <w:pPr>
        <w:pStyle w:val="Heading1"/>
      </w:pPr>
      <w:r>
        <w:t>5. Purchasing and Approval Authority</w:t>
      </w:r>
    </w:p>
    <w:p>
      <w:r>
        <w:t>Employees may not commit the company to purchases outside their delegated authority. Purchase requests must follow the approval thresholds below.</w:t>
      </w:r>
    </w:p>
    <w:p>
      <w:pPr>
        <w:pStyle w:val="ListBullet"/>
      </w:pPr>
      <w:r>
        <w:t>Purchases up to $2,500 may be approved by a department manager.</w:t>
      </w:r>
    </w:p>
    <w:p>
      <w:pPr>
        <w:pStyle w:val="ListBullet"/>
      </w:pPr>
      <w:r>
        <w:t>Purchases above $2,500 and up to $10,000 require department-head approval.</w:t>
      </w:r>
    </w:p>
    <w:p>
      <w:pPr>
        <w:pStyle w:val="ListBullet"/>
      </w:pPr>
      <w:r>
        <w:t>Purchases above $10,000 require director approval.</w:t>
      </w:r>
    </w:p>
    <w:p>
      <w:pPr>
        <w:pStyle w:val="ListBullet"/>
      </w:pPr>
      <w:r>
        <w:t>Purchases above $50,000 require both director approval and Finance review.</w:t>
      </w:r>
    </w:p>
    <w:p>
      <w:pPr>
        <w:pStyle w:val="ListBullet"/>
      </w:pPr>
      <w:r>
        <w:t>Splitting one purchase into multiple smaller transactions to avoid an approval threshold is prohibited.</w:t>
      </w:r>
    </w:p>
    <w:p>
      <w:pPr>
        <w:pStyle w:val="Heading1"/>
      </w:pPr>
      <w:r>
        <w:t>6. Information Security and Acceptable Use</w:t>
      </w:r>
    </w:p>
    <w:p>
      <w:r>
        <w:t>Employees are responsible for protecting company information, customer data, credentials, and devices. Access should be limited to information required for legitimate job responsibilities.</w:t>
      </w:r>
    </w:p>
    <w:p>
      <w:pPr>
        <w:pStyle w:val="ListBullet"/>
      </w:pPr>
      <w:r>
        <w:t>Multi-factor authentication must be enabled where the company provides it.</w:t>
      </w:r>
    </w:p>
    <w:p>
      <w:pPr>
        <w:pStyle w:val="ListBullet"/>
      </w:pPr>
      <w:r>
        <w:t>Passwords must not be shared with colleagues, contractors, friends, or family members.</w:t>
      </w:r>
    </w:p>
    <w:p>
      <w:pPr>
        <w:pStyle w:val="ListBullet"/>
      </w:pPr>
      <w:r>
        <w:t>Confidential files must not be uploaded to unapproved cloud storage or personal email accounts.</w:t>
      </w:r>
    </w:p>
    <w:p>
      <w:pPr>
        <w:pStyle w:val="ListBullet"/>
      </w:pPr>
      <w:r>
        <w:t>Lost or stolen company devices must be reported to IT and the employee's manager immediately.</w:t>
      </w:r>
    </w:p>
    <w:p>
      <w:pPr>
        <w:pStyle w:val="ListBullet"/>
      </w:pPr>
      <w:r>
        <w:t>Suspected phishing, malware, credential theft, or unauthorized access must be reported to the security team as soon as possible.</w:t>
      </w:r>
    </w:p>
    <w:p>
      <w:pPr>
        <w:pStyle w:val="ListBullet"/>
      </w:pPr>
      <w:r>
        <w:t>Employees must lock their workstation when leaving it unattended.</w:t>
      </w:r>
    </w:p>
    <w:p>
      <w:pPr>
        <w:pStyle w:val="Heading1"/>
      </w:pPr>
      <w:r>
        <w:t>7. Data Privacy and Confidentiality</w:t>
      </w:r>
    </w:p>
    <w:p>
      <w:r>
        <w:t>Personal and confidential information must be collected, accessed, used, retained, and disclosed only for legitimate business purposes and in accordance with applicable law and company procedures.</w:t>
      </w:r>
    </w:p>
    <w:p>
      <w:pPr>
        <w:pStyle w:val="ListBullet"/>
      </w:pPr>
      <w:r>
        <w:t>Employee records may be accessed only by authorized HR, management, Finance, legal, or security personnel with a business need.</w:t>
      </w:r>
    </w:p>
    <w:p>
      <w:pPr>
        <w:pStyle w:val="ListBullet"/>
      </w:pPr>
      <w:r>
        <w:t>Customer personal data should not be copied into test systems unless it has been properly anonymized or explicitly approved for testing.</w:t>
      </w:r>
    </w:p>
    <w:p>
      <w:pPr>
        <w:pStyle w:val="ListBullet"/>
      </w:pPr>
      <w:r>
        <w:t>Confidential information remains confidential after employment ends.</w:t>
      </w:r>
    </w:p>
    <w:p>
      <w:pPr>
        <w:pStyle w:val="ListBullet"/>
      </w:pPr>
      <w:r>
        <w:t>Documents containing sensitive personal data should be stored only in approved company systems.</w:t>
      </w:r>
    </w:p>
    <w:p>
      <w:pPr>
        <w:pStyle w:val="Heading1"/>
      </w:pPr>
      <w:r>
        <w:t>8. Workplace Conduct, Harassment, and Misconduct</w:t>
      </w:r>
    </w:p>
    <w:p>
      <w:r>
        <w:t>Northstar Analytics is committed to a professional workplace where employees are treated with respect. Harassment, discrimination, intimidation, retaliation, violence, fraud, deliberate data misuse, and theft are prohibited.</w:t>
      </w:r>
    </w:p>
    <w:p>
      <w:pPr>
        <w:pStyle w:val="ListBullet"/>
      </w:pPr>
      <w:r>
        <w:t>Employees who experience or witness misconduct should report it to their manager, Human Resources, or another designated reporting channel.</w:t>
      </w:r>
    </w:p>
    <w:p>
      <w:pPr>
        <w:pStyle w:val="ListBullet"/>
      </w:pPr>
      <w:r>
        <w:t>Retaliation against a person who raises a good-faith concern is prohibited.</w:t>
      </w:r>
    </w:p>
    <w:p>
      <w:pPr>
        <w:pStyle w:val="ListBullet"/>
      </w:pPr>
      <w:r>
        <w:t>Serious misconduct may result in immediate suspension pending investigation and may lead to termination of employment.</w:t>
      </w:r>
    </w:p>
    <w:p>
      <w:pPr>
        <w:pStyle w:val="ListBullet"/>
      </w:pPr>
      <w:r>
        <w:t>Investigations should be handled confidentially to the extent reasonably possible.</w:t>
      </w:r>
    </w:p>
    <w:p>
      <w:pPr>
        <w:pStyle w:val="Heading1"/>
      </w:pPr>
      <w:r>
        <w:t>9. Training and Professional Development</w:t>
      </w:r>
    </w:p>
    <w:p>
      <w:r>
        <w:t>The company supports relevant professional development. Eligible employees may receive reimbursement of up to $1,500 per calendar year for approved courses, certifications, conferences, or technical training.</w:t>
      </w:r>
    </w:p>
    <w:p>
      <w:pPr>
        <w:pStyle w:val="ListBullet"/>
      </w:pPr>
      <w:r>
        <w:t>Training reimbursement requires written approval before purchase or enrollment.</w:t>
      </w:r>
    </w:p>
    <w:p>
      <w:pPr>
        <w:pStyle w:val="ListBullet"/>
      </w:pPr>
      <w:r>
        <w:t>The training should be relevant to the employee's current role, planned career path, or company capability needs.</w:t>
      </w:r>
    </w:p>
    <w:p>
      <w:pPr>
        <w:pStyle w:val="ListBullet"/>
      </w:pPr>
      <w:r>
        <w:t>Proof of payment is required for reimbursement.</w:t>
      </w:r>
    </w:p>
    <w:p>
      <w:pPr>
        <w:pStyle w:val="ListBullet"/>
      </w:pPr>
      <w:r>
        <w:t>Where a course includes an examination, reimbursement may require reasonable evidence of completion or attendance.</w:t>
      </w:r>
    </w:p>
    <w:p>
      <w:pPr>
        <w:pStyle w:val="Heading1"/>
      </w:pPr>
      <w:r>
        <w:t>10. Company Equipment and Asset Return</w:t>
      </w:r>
    </w:p>
    <w:p>
      <w:r>
        <w:t>Company laptops, phones, access cards, software licenses, and other equipment remain company property unless explicitly transferred in writing.</w:t>
      </w:r>
    </w:p>
    <w:p>
      <w:pPr>
        <w:pStyle w:val="ListBullet"/>
      </w:pPr>
      <w:r>
        <w:t>Employees must take reasonable care of company equipment and use it primarily for authorized business purposes.</w:t>
      </w:r>
    </w:p>
    <w:p>
      <w:pPr>
        <w:pStyle w:val="ListBullet"/>
      </w:pPr>
      <w:r>
        <w:t>Company equipment must not be sold, loaned, or transferred without written authorization.</w:t>
      </w:r>
    </w:p>
    <w:p>
      <w:pPr>
        <w:pStyle w:val="ListBullet"/>
      </w:pPr>
      <w:r>
        <w:t>All company property must be returned on or before the employee's final working day unless HR provides different instructions.</w:t>
      </w:r>
    </w:p>
    <w:p>
      <w:pPr>
        <w:pStyle w:val="Heading1"/>
      </w:pPr>
      <w:r>
        <w:t>11. Performance and Corrective Action</w:t>
      </w:r>
    </w:p>
    <w:p>
      <w:r>
        <w:t>Managers are expected to provide regular feedback and clearly communicate performance expectations. Where performance or conduct does not meet expectations, the company may use coaching, written warnings, performance improvement plans, suspension, or other corrective action depending on the circumstances.</w:t>
      </w:r>
    </w:p>
    <w:p>
      <w:pPr>
        <w:pStyle w:val="ListBullet"/>
      </w:pPr>
      <w:r>
        <w:t>Corrective action should be proportionate to the seriousness and frequency of the issue.</w:t>
      </w:r>
    </w:p>
    <w:p>
      <w:pPr>
        <w:pStyle w:val="ListBullet"/>
      </w:pPr>
      <w:r>
        <w:t>A serious breach of security, fraud, violence, or deliberate misconduct may result in immediate escalation without prior warning.</w:t>
      </w:r>
    </w:p>
    <w:p>
      <w:pPr>
        <w:pStyle w:val="Heading1"/>
      </w:pPr>
      <w:r>
        <w:t>12. Separation of Employment</w:t>
      </w:r>
    </w:p>
    <w:p>
      <w:r>
        <w:t>Employees leaving the company must complete offboarding requirements, return company property, and protect confidential information after their employment ends. Access to company systems may be removed on or before the final working day depending on business and security requirements.</w:t>
      </w:r>
    </w:p>
    <w:p>
      <w:pPr>
        <w:pStyle w:val="ListBullet"/>
      </w:pPr>
      <w:r>
        <w:t>Managers should notify HR promptly when an employee resigns or when a separation decision has been approved.</w:t>
      </w:r>
    </w:p>
    <w:p>
      <w:pPr>
        <w:pStyle w:val="ListBullet"/>
      </w:pPr>
      <w:r>
        <w:t>Outstanding company expenses should be submitted before the final payroll cut-off where practical.</w:t>
      </w:r>
    </w:p>
    <w:p>
      <w:pPr>
        <w:pStyle w:val="ListBullet"/>
      </w:pPr>
      <w:r>
        <w:t>Confidentiality, intellectual-property, and data-protection obligations may continue after employment ends.</w:t>
      </w:r>
    </w:p>
    <w:p>
      <w:pPr>
        <w:pStyle w:val="Heading1"/>
      </w:pPr>
      <w:r>
        <w:t>13. Policy Exceptions and Review</w:t>
      </w:r>
    </w:p>
    <w:p>
      <w:r>
        <w:t>A policy exception requires documented approval from the appropriate authority. Employees should not assume that a previous exception creates a permanent entitlement or changes the written policy.</w:t>
      </w:r>
    </w:p>
    <w:p>
      <w:pPr>
        <w:pStyle w:val="ListBullet"/>
      </w:pPr>
      <w:r>
        <w:t>Managers may approve exceptions only within their delegated authority.</w:t>
      </w:r>
    </w:p>
    <w:p>
      <w:pPr>
        <w:pStyle w:val="ListBullet"/>
      </w:pPr>
      <w:r>
        <w:t>High-risk exceptions involving security, privacy, legal obligations, or major financial commitments should be escalated to the relevant specialist function.</w:t>
      </w:r>
    </w:p>
    <w:p>
      <w:pPr>
        <w:pStyle w:val="ListBullet"/>
      </w:pPr>
      <w:r>
        <w:t>This handbook should be reviewed at least annually and may be updated when business, legal, security, or operational requirements change.</w:t>
      </w:r>
    </w:p>
    <w:p>
      <w:pPr>
        <w:pStyle w:val="Heading1"/>
      </w:pPr>
      <w:r>
        <w:t>Employee Acknowledgement</w:t>
      </w:r>
    </w:p>
    <w:p>
      <w:r>
        <w:t>Employees are expected to read this handbook and ask questions when a policy is unclear. Receipt of this handbook does not create a fixed-term employment guarantee and does not prevent the company from updating its policies where permitted by law.</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DEMO POLICY - For testing and portfolio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Northstar Analytics Ltd. | Employee Policy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