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Вариант 89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Исходные данные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Цель: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выбор экономической стратегии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по заданным критериям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Критерии: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Производительность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- объём товаров и услуг (в сотнях в час), создаваемых в единицу времени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object w:dxaOrig="8625" w:dyaOrig="6357">
          <v:rect xmlns:o="urn:schemas-microsoft-com:office:office" xmlns:v="urn:schemas-microsoft-com:vml" id="rectole0000000000" style="width:431.250000pt;height:317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Функция имеет вид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полинома второго порядка с рациональными коэффициентами, которые можно представить в виде конечных десятичных дробей.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Конкурентоспособность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преимущество одного предприятия по отношению к другим данной отрасли внутри страны и за ее пределами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object w:dxaOrig="8625" w:dyaOrig="7046">
          <v:rect xmlns:o="urn:schemas-microsoft-com:office:office" xmlns:v="urn:schemas-microsoft-com:vml" id="rectole0000000001" style="width:431.250000pt;height:352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Функция имеет вид 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  <w:vertAlign w:val="superscript"/>
        </w:rPr>
        <w:t xml:space="preserve">х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-1.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Имеет пять градаций (очень низкая, низкая, средняя, высокая, очень высокая). Очень низкую принять равным 0, очень высокую - 1.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Финансовая осуществимость стратегии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средства (в млн долл), которые потребуются организации для того, чтобы проводить конкретную стратегию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object w:dxaOrig="8625" w:dyaOrig="6924">
          <v:rect xmlns:o="urn:schemas-microsoft-com:office:office" xmlns:v="urn:schemas-microsoft-com:vml" id="rectole0000000002" style="width:431.250000pt;height:346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Функция имеет вид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  <w:vertAlign w:val="superscript"/>
        </w:rPr>
        <w:t xml:space="preserve">a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+b, где a и b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неизвестные показатели из множества положительных рациональных чисел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Риск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возможность невыполнения фирмой своих обязательств перед заказчиком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object w:dxaOrig="9273" w:dyaOrig="6317">
          <v:rect xmlns:o="urn:schemas-microsoft-com:office:office" xmlns:v="urn:schemas-microsoft-com:vml" id="rectole0000000003" style="width:463.650000pt;height:315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Функция имеет вид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1-x/4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Имеет пять градаций (очень низкий, низкий, средний, высокий, очень высокий). Очень низкое принять равным 0, очень высокое - 4.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Альтернативы: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Концентрированный рост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- усиление позиций на рынке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Производительность: 10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Конкурентоспособность: высокая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Финансовая осуществимость стратегии: 400000 долларов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Риск: низкий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2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Интеграция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рост за счет усиления контроля над поставщиками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Производительность: 9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Конкурентоспособность: низкая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Финансовая осуществимость стратегии: 100000 долларов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Риск: высокий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Диверсификация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поиск доп. возможностей роста на существующем рынке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Производительность: 40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Конкурентоспособность: высокая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Финансовая осуществимость стратегии: 280000 долларов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Риск: средний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Дополнительные сведения для ЛР 3б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Эксперт оценил важность каждого критерия по десятибалльной шкале: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= 7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= 6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= 4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= 9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Дополнительные сведения для ЛР 3б</w:t>
      </w:r>
    </w:p>
    <w:p>
      <w:pPr>
        <w:suppressAutoHyphens w:val="true"/>
        <w:spacing w:before="0" w:after="0" w:line="2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Правила:</w:t>
      </w:r>
    </w:p>
    <w:p>
      <w:pPr>
        <w:suppressAutoHyphens w:val="true"/>
        <w:spacing w:before="0" w:after="0" w:line="240"/>
        <w:ind w:right="0" w:left="0" w:firstLine="2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Если и (или С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 = подходящее, или С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 = подходящее), и С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  <w:vertAlign w:val="subscript"/>
        </w:rPr>
        <w:t xml:space="preserve">4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 = подходящее, то Y = удовлетворительный";</w:t>
      </w:r>
    </w:p>
    <w:p>
      <w:pPr>
        <w:suppressAutoHyphens w:val="true"/>
        <w:spacing w:before="0" w:after="0" w:line="240"/>
        <w:ind w:right="0" w:left="0" w:firstLine="2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Если и С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 = неподходящее, и С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  <w:vertAlign w:val="subscript"/>
        </w:rPr>
        <w:t xml:space="preserve">3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 = неподходящее, и С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  <w:vertAlign w:val="subscript"/>
        </w:rPr>
        <w:t xml:space="preserve">4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 = неподходящее, то Y = неудовлетворительный";</w:t>
      </w:r>
    </w:p>
    <w:p>
      <w:pPr>
        <w:suppressAutoHyphens w:val="true"/>
        <w:spacing w:before="0" w:after="0" w:line="240"/>
        <w:ind w:right="0" w:left="0" w:firstLine="2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  <w:vertAlign w:val="sub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Если и С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 = подходящее, и (или С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 = подходящее, или С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  <w:vertAlign w:val="subscript"/>
        </w:rPr>
        <w:t xml:space="preserve">3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= подходящее), и С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  <w:vertAlign w:val="subscript"/>
        </w:rPr>
        <w:t xml:space="preserve">4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 = подходящее, то Y = безупречный".</w:t>
      </w:r>
    </w:p>
    <w:p>
      <w:pPr>
        <w:suppressAutoHyphens w:val="true"/>
        <w:spacing w:before="0" w:after="0" w:line="2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2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Представленные выше графики являются функциями принадлежности, отражающими  принадлежность соответствующего свойства альтернативы к множеству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μ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  <w:vertAlign w:val="subscript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Подходящее (подходящая, подходящий)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Для расчета функции принадлежности свойства альтернативы к множеству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неподходящее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использовать классическое отрицание. </w:t>
      </w:r>
    </w:p>
    <w:p>
      <w:pPr>
        <w:suppressAutoHyphens w:val="true"/>
        <w:spacing w:before="0" w:after="0" w:line="2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Переменная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задана на множестве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J 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{0; 0,1;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0,2; ...;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1}.</w:t>
      </w:r>
    </w:p>
    <w:p>
      <w:pPr>
        <w:suppressAutoHyphens w:val="true"/>
        <w:spacing w:before="0" w:after="0" w:line="2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Значения переменной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заданы с помощью следующих функций принадлежности:</w:t>
      </w:r>
    </w:p>
    <w:p>
      <w:pPr>
        <w:suppressAutoHyphens w:val="true"/>
        <w:spacing w:before="0" w:after="0" w:line="240"/>
        <w:ind w:right="0" w:left="0" w:firstLine="284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удовлетворительный,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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  <w:vertAlign w:val="subscript"/>
        </w:rPr>
        <w:t xml:space="preserve">S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(x)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х, х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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 J;</w:t>
      </w:r>
    </w:p>
    <w:p>
      <w:pPr>
        <w:suppressAutoHyphens w:val="true"/>
        <w:spacing w:before="0" w:after="0" w:line="2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 безупречный,                         </w:t>
      </w:r>
      <w:r>
        <w:object w:dxaOrig="2328" w:dyaOrig="829">
          <v:rect xmlns:o="urn:schemas-microsoft-com:office:office" xmlns:v="urn:schemas-microsoft-com:vml" id="rectole0000000004" style="width:116.400000pt;height:41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DrawAspect="Content" ObjectID="0000000004" ShapeID="rectole0000000004" r:id="docRId8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 х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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 J;</w:t>
      </w:r>
    </w:p>
    <w:p>
      <w:pPr>
        <w:suppressAutoHyphens w:val="true"/>
        <w:spacing w:before="0" w:after="0" w:line="2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US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неудовлетворительный,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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  <w:vertAlign w:val="subscript"/>
        </w:rPr>
        <w:t xml:space="preserve">US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 =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Дополнительные сведения для ЛР 3в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Важность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критериев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() задана нечеткими числами с функциями принадлежности следующего вида:</w:t>
      </w:r>
    </w:p>
    <w:tbl>
      <w:tblPr/>
      <w:tblGrid>
        <w:gridCol w:w="2263"/>
        <w:gridCol w:w="853"/>
        <w:gridCol w:w="1558"/>
        <w:gridCol w:w="1557"/>
        <w:gridCol w:w="1557"/>
      </w:tblGrid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5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Важный </w:t>
            </w:r>
          </w:p>
        </w:tc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В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0.5</w:t>
            </w:r>
          </w:p>
        </w:tc>
        <w:tc>
          <w:tcPr>
            <w:tcW w:w="15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0.75</w:t>
            </w:r>
          </w:p>
        </w:tc>
        <w:tc>
          <w:tcPr>
            <w:tcW w:w="15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Очень важный</w:t>
            </w:r>
          </w:p>
        </w:tc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ОВ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0.75</w:t>
            </w:r>
          </w:p>
        </w:tc>
        <w:tc>
          <w:tcPr>
            <w:tcW w:w="15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Не очень важный</w:t>
            </w:r>
          </w:p>
        </w:tc>
        <w:tc>
          <w:tcPr>
            <w:tcW w:w="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НОВ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0.2</w:t>
            </w:r>
          </w:p>
        </w:tc>
        <w:tc>
          <w:tcPr>
            <w:tcW w:w="15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0.5</w:t>
            </w:r>
          </w:p>
        </w:tc>
        <w:tc>
          <w:tcPr>
            <w:tcW w:w="15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0.75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Для оценки альтернатив используются лингвистические значения:</w:t>
      </w:r>
    </w:p>
    <w:tbl>
      <w:tblPr/>
      <w:tblGrid>
        <w:gridCol w:w="1869"/>
        <w:gridCol w:w="1869"/>
        <w:gridCol w:w="1869"/>
        <w:gridCol w:w="1869"/>
        <w:gridCol w:w="1869"/>
      </w:tblGrid>
      <w:tr>
        <w:trPr>
          <w:trHeight w:val="1" w:hRule="atLeast"/>
          <w:jc w:val="left"/>
        </w:trPr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Очень низкий</w:t>
            </w:r>
          </w:p>
        </w:tc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ОН</w:t>
            </w:r>
          </w:p>
        </w:tc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0.2</w:t>
            </w:r>
          </w:p>
        </w:tc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0.4</w:t>
            </w:r>
          </w:p>
        </w:tc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0.55</w:t>
            </w:r>
          </w:p>
        </w:tc>
      </w:tr>
      <w:tr>
        <w:trPr>
          <w:trHeight w:val="1" w:hRule="atLeast"/>
          <w:jc w:val="left"/>
        </w:trPr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Низкий</w:t>
            </w:r>
          </w:p>
        </w:tc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</w:t>
            </w:r>
          </w:p>
        </w:tc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0.4</w:t>
            </w:r>
          </w:p>
        </w:tc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0.55</w:t>
            </w:r>
          </w:p>
        </w:tc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0.7</w:t>
            </w:r>
          </w:p>
        </w:tc>
      </w:tr>
      <w:tr>
        <w:trPr>
          <w:trHeight w:val="1" w:hRule="atLeast"/>
          <w:jc w:val="left"/>
        </w:trPr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Средний</w:t>
            </w:r>
          </w:p>
        </w:tc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</w:t>
            </w:r>
          </w:p>
        </w:tc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0.55</w:t>
            </w:r>
          </w:p>
        </w:tc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0.7</w:t>
            </w:r>
          </w:p>
        </w:tc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0.75</w:t>
            </w:r>
          </w:p>
        </w:tc>
      </w:tr>
      <w:tr>
        <w:trPr>
          <w:trHeight w:val="1" w:hRule="atLeast"/>
          <w:jc w:val="left"/>
        </w:trPr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Высокий</w:t>
            </w:r>
          </w:p>
        </w:tc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В</w:t>
            </w:r>
          </w:p>
        </w:tc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0.7</w:t>
            </w:r>
          </w:p>
        </w:tc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0.75</w:t>
            </w:r>
          </w:p>
        </w:tc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Очень высокий</w:t>
            </w:r>
          </w:p>
        </w:tc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ОВ</w:t>
            </w:r>
          </w:p>
        </w:tc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0.75</w:t>
            </w:r>
          </w:p>
        </w:tc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</w:tbl>
    <w:p>
      <w:pPr>
        <w:suppressAutoHyphens w:val="true"/>
        <w:spacing w:before="0" w:after="0" w:line="240"/>
        <w:ind w:right="0" w:left="0" w:firstLine="2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