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ind w:firstLine="0"/>
        <w:jc w:val="center"/>
      </w:pPr>
      <w:r>
        <w:rPr>
          <w:rFonts w:ascii="Times New Roman" w:hAnsi="Times New Roman" w:eastAsia="黑体"/>
          <w:b/>
          <w:i w:val="0"/>
          <w:color w:val="000000"/>
          <w:sz w:val="36"/>
        </w:rPr>
        <w:t>LeNet-5手写数字识别复现：批归一化与通道门控的消融研究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楷体"/>
          <w:b w:val="0"/>
          <w:i w:val="0"/>
          <w:color w:val="000000"/>
          <w:sz w:val="24"/>
        </w:rPr>
        <w:t>张子泊</w:t>
      </w:r>
    </w:p>
    <w:p>
      <w:pPr>
        <w:spacing w:after="200"/>
        <w:ind w:firstLine="0"/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（华北电力大学 自动化系，河北 保定 071003）</w:t>
      </w:r>
    </w:p>
    <w:p>
      <w:pPr>
        <w:spacing w:lineRule="auto" w:line="360" w:after="40"/>
        <w:ind w:firstLine="0"/>
        <w:jc w:val="both"/>
      </w:pPr>
      <w:r>
        <w:rPr>
          <w:rFonts w:ascii="Times New Roman" w:hAnsi="Times New Roman" w:eastAsia="黑体"/>
          <w:b/>
          <w:i w:val="0"/>
          <w:color w:val="000000"/>
          <w:sz w:val="18"/>
        </w:rPr>
        <w:t>摘要：</w:t>
      </w:r>
      <w:r>
        <w:rPr>
          <w:rFonts w:ascii="Times New Roman" w:hAnsi="Times New Roman" w:eastAsia="仿宋"/>
          <w:b w:val="0"/>
          <w:i w:val="0"/>
          <w:color w:val="000000"/>
          <w:sz w:val="18"/>
        </w:rPr>
        <w:t>本文以经典卷积神经网络LeNet-5在MNIST手写数字识别任务上的复现为基础，系统考察批归一化（Batch Normalization，BN）与Squeeze-and-Excitation（SE）通道门控两类现代改进对这一小型网络的实际作用。为避免用测试集选择模型，本文从训练集中固定划分出验证集，依据验证集准确率选择最优模型；实验固定随机种子、为单次运行。结果表明：BN的主要作用是稳定并加快收敛，含BN模型与基线在测试准确率上的差异处于随机波动范围内；由于SE模块被置于空间尺寸已为1×1的最深卷积特征之后，其全局压缩退化为恒等，实质为120维特征上的多层感知机门控，在MNIST上未测得准确率增益，也未观察到BN与SE的协同效应。本文如实报告上述结果，并讨论了在接近饱和的基准上评估微小改进时，划分独立验证集的必要性，以及后续通过多种子重复进一步检验结论的方向。</w:t>
      </w:r>
    </w:p>
    <w:p>
      <w:pPr>
        <w:spacing w:lineRule="auto" w:line="360" w:after="40"/>
        <w:ind w:firstLine="0"/>
        <w:jc w:val="both"/>
      </w:pPr>
      <w:r>
        <w:rPr>
          <w:rFonts w:ascii="Times New Roman" w:hAnsi="Times New Roman" w:eastAsia="黑体"/>
          <w:b/>
          <w:i w:val="0"/>
          <w:color w:val="000000"/>
          <w:sz w:val="18"/>
        </w:rPr>
        <w:t>关键词：</w:t>
      </w:r>
      <w:r>
        <w:rPr>
          <w:rFonts w:ascii="Times New Roman" w:hAnsi="Times New Roman" w:eastAsia="仿宋"/>
          <w:b w:val="0"/>
          <w:i w:val="0"/>
          <w:color w:val="000000"/>
          <w:sz w:val="18"/>
        </w:rPr>
        <w:t>LeNet-5；手写数字识别；批归一化；通道门控；消融实验；MNIST</w:t>
      </w:r>
    </w:p>
    <w:p>
      <w:pPr>
        <w:spacing w:after="160"/>
        <w:ind w:firstLine="0"/>
        <w:jc w:val="left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中图分类号：TP391.41    文献标识码：A</w:t>
      </w:r>
    </w:p>
    <w:p>
      <w:pPr>
        <w:spacing w:before="160" w:after="80"/>
        <w:ind w:firstLine="0"/>
        <w:jc w:val="center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Reproducing LeNet-5 for Handwritten Digit Recognition: An Ablation Study of Batch Normalization and Channel Gating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ZHANG Zibo</w:t>
      </w:r>
    </w:p>
    <w:p>
      <w:pPr>
        <w:spacing w:after="120"/>
        <w:ind w:firstLine="0"/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(Department of Automation, North China Electric Power University, Baoding 071003, China)</w:t>
      </w:r>
    </w:p>
    <w:p>
      <w:pPr>
        <w:spacing w:lineRule="auto" w:line="360" w:after="40"/>
        <w:ind w:firstLine="0"/>
        <w:jc w:val="both"/>
      </w:pPr>
      <w:r>
        <w:rPr>
          <w:rFonts w:ascii="Times New Roman" w:hAnsi="Times New Roman" w:eastAsia="黑体"/>
          <w:b/>
          <w:i w:val="0"/>
          <w:color w:val="000000"/>
          <w:sz w:val="18"/>
        </w:rPr>
        <w:t xml:space="preserve">Abstract: </w:t>
      </w:r>
      <w:r>
        <w:rPr>
          <w:rFonts w:ascii="Times New Roman" w:hAnsi="Times New Roman" w:eastAsia="宋体"/>
          <w:b w:val="0"/>
          <w:i w:val="0"/>
          <w:color w:val="000000"/>
          <w:sz w:val="18"/>
        </w:rPr>
        <w:t>Based on reproducing the classic LeNet-5 on the MNIST handwritten digit recognition task, this paper systematically examines the effects of two modern improvements on this small network: batch normalization (BN) and the Squeeze-and-Excitation (SE) channel gate. To avoid selecting the model on the test set, a validation set is fixed aside from the training set, the best model is chosen by validation accuracy, and the experiment is run once with a fixed seed. Results show that BN mainly stabilizes and accelerates convergence, while the difference in test accuracy between BN-equipped models and the baseline lies within the random fluctuation range. Because the SE module is placed after the deepest convolutional features whose spatial size is already 1×1, its global squeeze degenerates to an identity and it is effectively an MLP gate over a 120-dimensional feature; no accuracy gain is measured on MNIST, and no synergy between BN and SE is observed. The paper reports these results faithfully and discusses the need for a held-out validation set, and the direction of further repeated runs with multiple seeds, when evaluating tiny improvements on a near-saturated benchmark.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黑体"/>
          <w:b/>
          <w:i w:val="0"/>
          <w:color w:val="000000"/>
          <w:sz w:val="18"/>
        </w:rPr>
        <w:t xml:space="preserve">Keywords: </w:t>
      </w:r>
      <w:r>
        <w:rPr>
          <w:rFonts w:ascii="Times New Roman" w:hAnsi="Times New Roman" w:eastAsia="宋体"/>
          <w:b w:val="0"/>
          <w:i w:val="0"/>
          <w:color w:val="000000"/>
          <w:sz w:val="18"/>
        </w:rPr>
        <w:t>LeNet-5; handwritten digit recognition; batch normalization; channel gating; ablation study; MNIST</w:t>
      </w:r>
    </w:p>
    <w:p>
      <w:pPr>
        <w:pStyle w:val="Heading1"/>
        <w:spacing w:lineRule="auto" w:line="360" w:before="240" w:after="120"/>
        <w:ind w:firstLine="0"/>
        <w:jc w:val="left"/>
      </w:pPr>
      <w:r>
        <w:rPr>
          <w:rFonts w:ascii="Times New Roman" w:hAnsi="Times New Roman" w:eastAsia="黑体"/>
          <w:b/>
          <w:color w:val="000000"/>
          <w:sz w:val="24"/>
        </w:rPr>
        <w:t>1  引言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手写数字识别是计算机视觉领域的经典任务，广泛应用于邮政编码识别、银行票据处理、表单自动录入等场景。1998年，LeCun等人提出了LeNet-5网络</w:t>
      </w:r>
      <w:r>
        <w:rPr>
          <w:rFonts w:ascii="Times New Roman" w:hAnsi="Times New Roman" w:eastAsia="宋体"/>
          <w:b w:val="0"/>
          <w:i w:val="0"/>
          <w:color w:val="000000"/>
          <w:sz w:val="21"/>
          <w:vertAlign w:val="superscript"/>
        </w:rPr>
        <w:t>[1]</w:t>
      </w:r>
      <w:r>
        <w:rPr>
          <w:rFonts w:ascii="Times New Roman" w:hAnsi="Times New Roman" w:eastAsia="宋体"/>
          <w:b w:val="0"/>
          <w:i w:val="0"/>
          <w:color w:val="000000"/>
          <w:sz w:val="21"/>
        </w:rPr>
        <w:t>，确立了“卷积—池化—全连接”的经典卷积神经网络（CNN）架构，通过局部感受野、权值共享与层级特征提取实现端到端的图像分类，成为深度学习发展史上的里程碑工作，也是当前主流CNN模型（如AlexNet</w:t>
      </w:r>
      <w:r>
        <w:rPr>
          <w:rFonts w:ascii="Times New Roman" w:hAnsi="Times New Roman" w:eastAsia="宋体"/>
          <w:b w:val="0"/>
          <w:i w:val="0"/>
          <w:color w:val="000000"/>
          <w:sz w:val="21"/>
          <w:vertAlign w:val="superscript"/>
        </w:rPr>
        <w:t>[2]</w:t>
      </w:r>
      <w:r>
        <w:rPr>
          <w:rFonts w:ascii="Times New Roman" w:hAnsi="Times New Roman" w:eastAsia="宋体"/>
          <w:b w:val="0"/>
          <w:i w:val="0"/>
          <w:color w:val="000000"/>
          <w:sz w:val="21"/>
        </w:rPr>
        <w:t>、VGG</w:t>
      </w:r>
      <w:r>
        <w:rPr>
          <w:rFonts w:ascii="Times New Roman" w:hAnsi="Times New Roman" w:eastAsia="宋体"/>
          <w:b w:val="0"/>
          <w:i w:val="0"/>
          <w:color w:val="000000"/>
          <w:sz w:val="21"/>
          <w:vertAlign w:val="superscript"/>
        </w:rPr>
        <w:t>[3]</w:t>
      </w:r>
      <w:r>
        <w:rPr>
          <w:rFonts w:ascii="Times New Roman" w:hAnsi="Times New Roman" w:eastAsia="宋体"/>
          <w:b w:val="0"/>
          <w:i w:val="0"/>
          <w:color w:val="000000"/>
          <w:sz w:val="21"/>
        </w:rPr>
        <w:t>、ResNet</w:t>
      </w:r>
      <w:r>
        <w:rPr>
          <w:rFonts w:ascii="Times New Roman" w:hAnsi="Times New Roman" w:eastAsia="宋体"/>
          <w:b w:val="0"/>
          <w:i w:val="0"/>
          <w:color w:val="000000"/>
          <w:sz w:val="21"/>
          <w:vertAlign w:val="superscript"/>
        </w:rPr>
        <w:t>[4]</w:t>
      </w:r>
      <w:r>
        <w:rPr>
          <w:rFonts w:ascii="Times New Roman" w:hAnsi="Times New Roman" w:eastAsia="宋体"/>
          <w:b w:val="0"/>
          <w:i w:val="0"/>
          <w:color w:val="000000"/>
          <w:sz w:val="21"/>
        </w:rPr>
        <w:t>）的共同基石。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受限于提出年代的设计理念，原始LeNet-5采用tanh/sigmoid激活与平均池化，其训练过程对学习率与初始化较为敏感。此后，批归一化（Batch Normalization，BN）</w:t>
      </w:r>
      <w:r>
        <w:rPr>
          <w:rFonts w:ascii="Times New Roman" w:hAnsi="Times New Roman" w:eastAsia="宋体"/>
          <w:b w:val="0"/>
          <w:i w:val="0"/>
          <w:color w:val="000000"/>
          <w:sz w:val="21"/>
          <w:vertAlign w:val="superscript"/>
        </w:rPr>
        <w:t>[5]</w:t>
      </w:r>
      <w:r>
        <w:rPr>
          <w:rFonts w:ascii="Times New Roman" w:hAnsi="Times New Roman" w:eastAsia="宋体"/>
          <w:b w:val="0"/>
          <w:i w:val="0"/>
          <w:color w:val="000000"/>
          <w:sz w:val="21"/>
        </w:rPr>
        <w:t>通过固定网络中间层输入的分布，缓解内部协变量偏移，成为加速深度网络训练的常用手段；Squeeze-and-Excitation（SE）模块</w:t>
      </w:r>
      <w:r>
        <w:rPr>
          <w:rFonts w:ascii="Times New Roman" w:hAnsi="Times New Roman" w:eastAsia="宋体"/>
          <w:b w:val="0"/>
          <w:i w:val="0"/>
          <w:color w:val="000000"/>
          <w:sz w:val="21"/>
          <w:vertAlign w:val="superscript"/>
        </w:rPr>
        <w:t>[6]</w:t>
      </w:r>
      <w:r>
        <w:rPr>
          <w:rFonts w:ascii="Times New Roman" w:hAnsi="Times New Roman" w:eastAsia="宋体"/>
          <w:b w:val="0"/>
          <w:i w:val="0"/>
          <w:color w:val="000000"/>
          <w:sz w:val="21"/>
        </w:rPr>
        <w:t>则通过显式建模通道间依赖，对特征通道进行自适应重标定。一个自然的问题是：把这些现代改进直接叠加到LeNet-5这样的小型网络上，究竟能带来多少可重复的收益？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本文以LeNet-5为基线，在MNIST上复现其训练流程，并分别引入BN、SE以及二者组合，通过验证集选择模型、固定随机种子单次运行，对其准确率、收敛速度与开销进行对比与消融。主要工作包括：（1）复现LeNet-5结构并采用统一的现代训练配置，得到可复现的强基线；（2）实现仅BN、仅SE、BN+SE三个变体；（3）以验证集选模型，在同一口径下定量判断各改进的真实贡献，并如实报告准确率差异处于随机波动范围这一事实。</w:t>
      </w:r>
    </w:p>
    <w:p>
      <w:pPr>
        <w:pStyle w:val="Heading1"/>
        <w:spacing w:lineRule="auto" w:line="360" w:before="240" w:after="120"/>
        <w:ind w:firstLine="0"/>
        <w:jc w:val="left"/>
      </w:pPr>
      <w:r>
        <w:rPr>
          <w:rFonts w:ascii="Times New Roman" w:hAnsi="Times New Roman" w:eastAsia="黑体"/>
          <w:b/>
          <w:color w:val="000000"/>
          <w:sz w:val="24"/>
        </w:rPr>
        <w:t>2  相关工作</w:t>
      </w:r>
    </w:p>
    <w:p>
      <w:pPr>
        <w:pStyle w:val="Heading2"/>
        <w:spacing w:lineRule="auto" w:line="360" w:before="120" w:after="60"/>
        <w:ind w:firstLine="0"/>
        <w:jc w:val="left"/>
      </w:pPr>
      <w:r>
        <w:rPr>
          <w:rFonts w:ascii="Times New Roman" w:hAnsi="Times New Roman" w:eastAsia="黑体"/>
          <w:b/>
          <w:color w:val="000000"/>
          <w:sz w:val="21"/>
        </w:rPr>
        <w:t>2.1  卷积神经网络的发展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卷积神经网络通过局部连接、权值共享与池化操作大幅降低了参数量，相比全连接网络更适合处理图像数据。LeNet-5作为首个成功商业化的CNN模型，为后续研究奠定了基础。AlexNet</w:t>
      </w:r>
      <w:r>
        <w:rPr>
          <w:rFonts w:ascii="Times New Roman" w:hAnsi="Times New Roman" w:eastAsia="宋体"/>
          <w:b w:val="0"/>
          <w:i w:val="0"/>
          <w:color w:val="000000"/>
          <w:sz w:val="21"/>
          <w:vertAlign w:val="superscript"/>
        </w:rPr>
        <w:t>[2]</w:t>
      </w:r>
      <w:r>
        <w:rPr>
          <w:rFonts w:ascii="Times New Roman" w:hAnsi="Times New Roman" w:eastAsia="宋体"/>
          <w:b w:val="0"/>
          <w:i w:val="0"/>
          <w:color w:val="000000"/>
          <w:sz w:val="21"/>
        </w:rPr>
        <w:t>通过更深的结构与ReLU激活在ImageNet上取得突破；VGG</w:t>
      </w:r>
      <w:r>
        <w:rPr>
          <w:rFonts w:ascii="Times New Roman" w:hAnsi="Times New Roman" w:eastAsia="宋体"/>
          <w:b w:val="0"/>
          <w:i w:val="0"/>
          <w:color w:val="000000"/>
          <w:sz w:val="21"/>
          <w:vertAlign w:val="superscript"/>
        </w:rPr>
        <w:t>[3]</w:t>
      </w:r>
      <w:r>
        <w:rPr>
          <w:rFonts w:ascii="Times New Roman" w:hAnsi="Times New Roman" w:eastAsia="宋体"/>
          <w:b w:val="0"/>
          <w:i w:val="0"/>
          <w:color w:val="000000"/>
          <w:sz w:val="21"/>
        </w:rPr>
        <w:t>证明了小卷积核堆叠的有效性；ResNet</w:t>
      </w:r>
      <w:r>
        <w:rPr>
          <w:rFonts w:ascii="Times New Roman" w:hAnsi="Times New Roman" w:eastAsia="宋体"/>
          <w:b w:val="0"/>
          <w:i w:val="0"/>
          <w:color w:val="000000"/>
          <w:sz w:val="21"/>
          <w:vertAlign w:val="superscript"/>
        </w:rPr>
        <w:t>[4]</w:t>
      </w:r>
      <w:r>
        <w:rPr>
          <w:rFonts w:ascii="Times New Roman" w:hAnsi="Times New Roman" w:eastAsia="宋体"/>
          <w:b w:val="0"/>
          <w:i w:val="0"/>
          <w:color w:val="000000"/>
          <w:sz w:val="21"/>
        </w:rPr>
        <w:t>通过残差连接解决了深层网络的退化问题。这些工作共同推动了图像分类、目标检测等任务的快速发展。</w:t>
      </w:r>
    </w:p>
    <w:p>
      <w:pPr>
        <w:pStyle w:val="Heading2"/>
        <w:spacing w:lineRule="auto" w:line="360" w:before="120" w:after="60"/>
        <w:ind w:firstLine="0"/>
        <w:jc w:val="left"/>
      </w:pPr>
      <w:r>
        <w:rPr>
          <w:rFonts w:ascii="Times New Roman" w:hAnsi="Times New Roman" w:eastAsia="黑体"/>
          <w:b/>
          <w:color w:val="000000"/>
          <w:sz w:val="21"/>
        </w:rPr>
        <w:t>2.2  批归一化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Ioffe和Szegedy提出的批归一化</w:t>
      </w:r>
      <w:r>
        <w:rPr>
          <w:rFonts w:ascii="Times New Roman" w:hAnsi="Times New Roman" w:eastAsia="宋体"/>
          <w:b w:val="0"/>
          <w:i w:val="0"/>
          <w:color w:val="000000"/>
          <w:sz w:val="21"/>
          <w:vertAlign w:val="superscript"/>
        </w:rPr>
        <w:t>[5]</w:t>
      </w:r>
      <w:r>
        <w:rPr>
          <w:rFonts w:ascii="Times New Roman" w:hAnsi="Times New Roman" w:eastAsia="宋体"/>
          <w:b w:val="0"/>
          <w:i w:val="0"/>
          <w:color w:val="000000"/>
          <w:sz w:val="21"/>
        </w:rPr>
        <w:t>对每个训练批次的特征进行标准化，再通过可学习的缩放与平移参数恢复表达能力，从而固定层输入的均值与方差分布，缓解内部协变量偏移。BN能够加速网络收敛、允许使用更大的学习率，并具有一定的正则化效果，已成为现代深度网络的常用组件。</w:t>
      </w:r>
    </w:p>
    <w:p>
      <w:pPr>
        <w:pStyle w:val="Heading2"/>
        <w:spacing w:lineRule="auto" w:line="360" w:before="120" w:after="60"/>
        <w:ind w:firstLine="0"/>
        <w:jc w:val="left"/>
      </w:pPr>
      <w:r>
        <w:rPr>
          <w:rFonts w:ascii="Times New Roman" w:hAnsi="Times New Roman" w:eastAsia="黑体"/>
          <w:b/>
          <w:color w:val="000000"/>
          <w:sz w:val="21"/>
        </w:rPr>
        <w:t>2.3  注意力与通道门控机制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注意力机制借鉴了人类视觉系统选择性关注重要信息的特点。Hu等人提出的Squeeze-and-Excitation网络</w:t>
      </w:r>
      <w:r>
        <w:rPr>
          <w:rFonts w:ascii="Times New Roman" w:hAnsi="Times New Roman" w:eastAsia="宋体"/>
          <w:b w:val="0"/>
          <w:i w:val="0"/>
          <w:color w:val="000000"/>
          <w:sz w:val="21"/>
          <w:vertAlign w:val="superscript"/>
        </w:rPr>
        <w:t>[6]</w:t>
      </w:r>
      <w:r>
        <w:rPr>
          <w:rFonts w:ascii="Times New Roman" w:hAnsi="Times New Roman" w:eastAsia="宋体"/>
          <w:b w:val="0"/>
          <w:i w:val="0"/>
          <w:color w:val="000000"/>
          <w:sz w:val="21"/>
        </w:rPr>
        <w:t>通过“压缩—激励”两步对通道维特征进行重标定，在ImageNet上以较小的额外计算取得了性能提升；CBAM</w:t>
      </w:r>
      <w:r>
        <w:rPr>
          <w:rFonts w:ascii="Times New Roman" w:hAnsi="Times New Roman" w:eastAsia="宋体"/>
          <w:b w:val="0"/>
          <w:i w:val="0"/>
          <w:color w:val="000000"/>
          <w:sz w:val="21"/>
          <w:vertAlign w:val="superscript"/>
        </w:rPr>
        <w:t>[7]</w:t>
      </w:r>
      <w:r>
        <w:rPr>
          <w:rFonts w:ascii="Times New Roman" w:hAnsi="Times New Roman" w:eastAsia="宋体"/>
          <w:b w:val="0"/>
          <w:i w:val="0"/>
          <w:color w:val="000000"/>
          <w:sz w:val="21"/>
        </w:rPr>
        <w:t>等空间—通道混合注意力变体相继被提出。需要注意的是，这些增益多在通道数较多、空间尺寸较大的中高层特征上获得，当特征空间尺寸很小或任务本身较简单时，注意力的作用可能被削弱。</w:t>
      </w:r>
    </w:p>
    <w:p>
      <w:pPr>
        <w:pStyle w:val="Heading2"/>
        <w:spacing w:lineRule="auto" w:line="360" w:before="120" w:after="60"/>
        <w:ind w:firstLine="0"/>
        <w:jc w:val="left"/>
      </w:pPr>
      <w:r>
        <w:rPr>
          <w:rFonts w:ascii="Times New Roman" w:hAnsi="Times New Roman" w:eastAsia="黑体"/>
          <w:b/>
          <w:color w:val="000000"/>
          <w:sz w:val="21"/>
        </w:rPr>
        <w:t>2.4  手写数字识别研究现状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MNIST数据集</w:t>
      </w:r>
      <w:r>
        <w:rPr>
          <w:rFonts w:ascii="Times New Roman" w:hAnsi="Times New Roman" w:eastAsia="宋体"/>
          <w:b w:val="0"/>
          <w:i w:val="0"/>
          <w:color w:val="000000"/>
          <w:sz w:val="21"/>
          <w:vertAlign w:val="superscript"/>
        </w:rPr>
        <w:t>[8]</w:t>
      </w:r>
      <w:r>
        <w:rPr>
          <w:rFonts w:ascii="Times New Roman" w:hAnsi="Times New Roman" w:eastAsia="宋体"/>
          <w:b w:val="0"/>
          <w:i w:val="0"/>
          <w:color w:val="000000"/>
          <w:sz w:val="21"/>
        </w:rPr>
        <w:t>包含6万张训练图像与1万张测试图像，是手写数字识别领域的标准基准。围绕该基准，国内学者提出了多种改进：段莉莉等</w:t>
      </w:r>
      <w:r>
        <w:rPr>
          <w:rFonts w:ascii="Times New Roman" w:hAnsi="Times New Roman" w:eastAsia="宋体"/>
          <w:b w:val="0"/>
          <w:i w:val="0"/>
          <w:color w:val="000000"/>
          <w:sz w:val="21"/>
          <w:vertAlign w:val="superscript"/>
        </w:rPr>
        <w:t>[9]</w:t>
      </w:r>
      <w:r>
        <w:rPr>
          <w:rFonts w:ascii="Times New Roman" w:hAnsi="Times New Roman" w:eastAsia="宋体"/>
          <w:b w:val="0"/>
          <w:i w:val="0"/>
          <w:color w:val="000000"/>
          <w:sz w:val="21"/>
        </w:rPr>
        <w:t>通过采用更小卷积核、ReLU、Dropout与L2正则化并加深网络，在MNIST上达到99.26%；李波燕等</w:t>
      </w:r>
      <w:r>
        <w:rPr>
          <w:rFonts w:ascii="Times New Roman" w:hAnsi="Times New Roman" w:eastAsia="宋体"/>
          <w:b w:val="0"/>
          <w:i w:val="0"/>
          <w:color w:val="000000"/>
          <w:sz w:val="21"/>
          <w:vertAlign w:val="superscript"/>
        </w:rPr>
        <w:t>[10]</w:t>
      </w:r>
      <w:r>
        <w:rPr>
          <w:rFonts w:ascii="Times New Roman" w:hAnsi="Times New Roman" w:eastAsia="宋体"/>
          <w:b w:val="0"/>
          <w:i w:val="0"/>
          <w:color w:val="000000"/>
          <w:sz w:val="21"/>
        </w:rPr>
        <w:t>在CNN中嵌入CBAM并结合BN，报告了99.87%的准确率；牟世桂</w:t>
      </w:r>
      <w:r>
        <w:rPr>
          <w:rFonts w:ascii="Times New Roman" w:hAnsi="Times New Roman" w:eastAsia="宋体"/>
          <w:b w:val="0"/>
          <w:i w:val="0"/>
          <w:color w:val="000000"/>
          <w:sz w:val="21"/>
          <w:vertAlign w:val="superscript"/>
        </w:rPr>
        <w:t>[11]</w:t>
      </w:r>
      <w:r>
        <w:rPr>
          <w:rFonts w:ascii="Times New Roman" w:hAnsi="Times New Roman" w:eastAsia="宋体"/>
          <w:b w:val="0"/>
          <w:i w:val="0"/>
          <w:color w:val="000000"/>
          <w:sz w:val="21"/>
        </w:rPr>
        <w:t>通过残差连接、BN与学习率调度将准确率提升至约99.5%。在国际上，Iwana等</w:t>
      </w:r>
      <w:r>
        <w:rPr>
          <w:rFonts w:ascii="Times New Roman" w:hAnsi="Times New Roman" w:eastAsia="宋体"/>
          <w:b w:val="0"/>
          <w:i w:val="0"/>
          <w:color w:val="000000"/>
          <w:sz w:val="21"/>
          <w:vertAlign w:val="superscript"/>
        </w:rPr>
        <w:t>[12]</w:t>
      </w:r>
      <w:r>
        <w:rPr>
          <w:rFonts w:ascii="Times New Roman" w:hAnsi="Times New Roman" w:eastAsia="宋体"/>
          <w:b w:val="0"/>
          <w:i w:val="0"/>
          <w:color w:val="000000"/>
          <w:sz w:val="21"/>
        </w:rPr>
        <w:t>提出的Vision Conformer将卷积引入Vision Transformer，在MNIST上约99.03%。由于MNIST准确率已接近饱和，上述改进的绝对差值往往很小，本文因此更关注结论的可重复性而非单次最优数值。</w:t>
      </w:r>
    </w:p>
    <w:p>
      <w:pPr>
        <w:pStyle w:val="Heading1"/>
        <w:spacing w:lineRule="auto" w:line="360" w:before="240" w:after="120"/>
        <w:ind w:firstLine="0"/>
        <w:jc w:val="left"/>
      </w:pPr>
      <w:r>
        <w:rPr>
          <w:rFonts w:ascii="Times New Roman" w:hAnsi="Times New Roman" w:eastAsia="黑体"/>
          <w:b/>
          <w:color w:val="000000"/>
          <w:sz w:val="24"/>
        </w:rPr>
        <w:t>3  方法</w:t>
      </w:r>
    </w:p>
    <w:p>
      <w:pPr>
        <w:pStyle w:val="Heading2"/>
        <w:spacing w:lineRule="auto" w:line="360" w:before="120" w:after="60"/>
        <w:ind w:firstLine="0"/>
        <w:jc w:val="left"/>
      </w:pPr>
      <w:r>
        <w:rPr>
          <w:rFonts w:ascii="Times New Roman" w:hAnsi="Times New Roman" w:eastAsia="黑体"/>
          <w:b/>
          <w:color w:val="000000"/>
          <w:sz w:val="21"/>
        </w:rPr>
        <w:t>3.1  基线：LeNet-5结构与现代训练配置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需要说明的是，本文复现的并非1998年原始训练配方，而是“LeNet-5结构 + 现代训练配置”的强基线。网络结构保持LeNet-5的层级：输入32×32灰度图像，C1（6个5×5卷积核，输出28×28）、2×2池化（14×14）、C3（16个5×5卷积核，10×10）、2×2池化（5×5）、C5（120个5×5卷积核，1×1）、F6（84个神经元）与10类输出。训练配置上，以ReLU替代原始sigmoid/tanh、以最大池化替代平均池化，并在全连接部分加入Dropout（0.25），这些是当前框架下的通用且更稳定的实践。</w:t>
      </w:r>
    </w:p>
    <w:p>
      <w:pPr>
        <w:pStyle w:val="Heading2"/>
        <w:spacing w:lineRule="auto" w:line="360" w:before="120" w:after="60"/>
        <w:ind w:firstLine="0"/>
        <w:jc w:val="left"/>
      </w:pPr>
      <w:r>
        <w:rPr>
          <w:rFonts w:ascii="Times New Roman" w:hAnsi="Times New Roman" w:eastAsia="黑体"/>
          <w:b/>
          <w:color w:val="000000"/>
          <w:sz w:val="21"/>
        </w:rPr>
        <w:t>3.2  SE通道门控模块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SE模块先通过全局平均池化将每个通道的空间特征压缩为一个标量：</w:t>
      </w:r>
    </w:p>
    <w:p>
      <w:pPr>
        <w:spacing w:before="80" w:after="0"/>
        <w:ind w:firstLine="0"/>
        <w:jc w:val="center"/>
        <w:tabs>
          <w:tab w:val="right" w:pos="8889"/>
        </w:tabs>
      </w:pPr>
      <w:r>
        <w:drawing>
          <wp:inline xmlns:a="http://schemas.openxmlformats.org/drawingml/2006/main" xmlns:pic="http://schemas.openxmlformats.org/drawingml/2006/picture">
            <wp:extent cx="3240000" cy="785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8581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b w:val="0"/>
          <w:i w:val="0"/>
          <w:color w:val="000000"/>
          <w:sz w:val="21"/>
        </w:rPr>
        <w:tab/>
        <w:t>（1）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其中u_c为第c个通道的特征图，H和W为其高与宽。随后通过两个全连接层构成的瓶颈结构学习通道权重：</w:t>
      </w:r>
    </w:p>
    <w:p>
      <w:pPr>
        <w:spacing w:before="80" w:after="0"/>
        <w:ind w:firstLine="0"/>
        <w:jc w:val="center"/>
        <w:tabs>
          <w:tab w:val="right" w:pos="8889"/>
        </w:tabs>
      </w:pPr>
      <w:r>
        <w:drawing>
          <wp:inline xmlns:a="http://schemas.openxmlformats.org/drawingml/2006/main" xmlns:pic="http://schemas.openxmlformats.org/drawingml/2006/picture">
            <wp:extent cx="3240000" cy="7022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022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b w:val="0"/>
          <w:i w:val="0"/>
          <w:color w:val="000000"/>
          <w:sz w:val="21"/>
        </w:rPr>
        <w:tab/>
        <w:t>（2）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其中σ为Sigmoid，δ为ReLU，压缩比r=2，最终将权重与特征逐通道相乘。需要特别指出：本文将SE置于C5之后，而C5输出空间尺寸恰为1×1，此时全局平均池化对1×1输入是恒等映射，SE不再包含真正的空间“压缩”，退化为对120维向量的两层MLP门控。这一结构细节是后续SE未显示增益的重要原因。</w:t>
      </w:r>
    </w:p>
    <w:p>
      <w:pPr>
        <w:pStyle w:val="Heading2"/>
        <w:spacing w:lineRule="auto" w:line="360" w:before="120" w:after="60"/>
        <w:ind w:firstLine="0"/>
        <w:jc w:val="left"/>
      </w:pPr>
      <w:r>
        <w:rPr>
          <w:rFonts w:ascii="Times New Roman" w:hAnsi="Times New Roman" w:eastAsia="黑体"/>
          <w:b/>
          <w:color w:val="000000"/>
          <w:sz w:val="21"/>
        </w:rPr>
        <w:t>3.3  批归一化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批归一化对每个批次的特征进行标准化，并引入可学习的缩放参数γ与平移参数β：</w:t>
      </w:r>
    </w:p>
    <w:p>
      <w:pPr>
        <w:spacing w:before="80" w:after="0"/>
        <w:ind w:firstLine="0"/>
        <w:jc w:val="center"/>
        <w:tabs>
          <w:tab w:val="right" w:pos="8889"/>
        </w:tabs>
      </w:pPr>
      <w:r>
        <w:drawing>
          <wp:inline xmlns:a="http://schemas.openxmlformats.org/drawingml/2006/main" xmlns:pic="http://schemas.openxmlformats.org/drawingml/2006/picture">
            <wp:extent cx="3240000" cy="7547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5472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b w:val="0"/>
          <w:i w:val="0"/>
          <w:color w:val="000000"/>
          <w:sz w:val="21"/>
        </w:rPr>
        <w:tab/>
        <w:t>（3）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其中μ_B与σ_B²为批次均值与方差，ε为防止除零的小常数；训练时使用批次统计量，推理时使用累计的全局统计量。</w:t>
      </w:r>
    </w:p>
    <w:p>
      <w:pPr>
        <w:pStyle w:val="Heading2"/>
        <w:spacing w:lineRule="auto" w:line="360" w:before="120" w:after="60"/>
        <w:ind w:firstLine="0"/>
        <w:jc w:val="left"/>
      </w:pPr>
      <w:r>
        <w:rPr>
          <w:rFonts w:ascii="Times New Roman" w:hAnsi="Times New Roman" w:eastAsia="黑体"/>
          <w:b/>
          <w:color w:val="000000"/>
          <w:sz w:val="21"/>
        </w:rPr>
        <w:t>3.4  四个模型配置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本文比较四个结构：LeNet-5（基线）、SE-LeNet（仅在C5后加SE）、BN-LeNet（每个卷积层后加BatchNorm2d）、SE-BN-LeNet（卷积层后加BN、C5后加SE）。四者采用完全相同的优化器、学习率、数据划分与训练轮数，仅在是否包含BN与SE上不同。</w:t>
      </w:r>
    </w:p>
    <w:p>
      <w:pPr>
        <w:pStyle w:val="Heading1"/>
        <w:spacing w:lineRule="auto" w:line="360" w:before="240" w:after="120"/>
        <w:ind w:firstLine="0"/>
        <w:jc w:val="left"/>
      </w:pPr>
      <w:r>
        <w:rPr>
          <w:rFonts w:ascii="Times New Roman" w:hAnsi="Times New Roman" w:eastAsia="黑体"/>
          <w:b/>
          <w:color w:val="000000"/>
          <w:sz w:val="24"/>
        </w:rPr>
        <w:t>4  实验</w:t>
      </w:r>
    </w:p>
    <w:p>
      <w:pPr>
        <w:pStyle w:val="Heading2"/>
        <w:spacing w:lineRule="auto" w:line="360" w:before="120" w:after="60"/>
        <w:ind w:firstLine="0"/>
        <w:jc w:val="left"/>
      </w:pPr>
      <w:r>
        <w:rPr>
          <w:rFonts w:ascii="Times New Roman" w:hAnsi="Times New Roman" w:eastAsia="黑体"/>
          <w:b/>
          <w:color w:val="000000"/>
          <w:sz w:val="21"/>
        </w:rPr>
        <w:t>4.1  实验环境与数据集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实验环境如表1所示。MNIST</w:t>
      </w:r>
      <w:r>
        <w:rPr>
          <w:rFonts w:ascii="Times New Roman" w:hAnsi="Times New Roman" w:eastAsia="宋体"/>
          <w:b w:val="0"/>
          <w:i w:val="0"/>
          <w:color w:val="000000"/>
          <w:sz w:val="21"/>
          <w:vertAlign w:val="superscript"/>
        </w:rPr>
        <w:t>[8]</w:t>
      </w:r>
      <w:r>
        <w:rPr>
          <w:rFonts w:ascii="Times New Roman" w:hAnsi="Times New Roman" w:eastAsia="宋体"/>
          <w:b w:val="0"/>
          <w:i w:val="0"/>
          <w:color w:val="000000"/>
          <w:sz w:val="21"/>
        </w:rPr>
        <w:t>为28×28灰度图像，实验中统一缩放至32×32，并以均值0.1307、标准差0.3081归一化。</w:t>
      </w:r>
    </w:p>
    <w:p>
      <w:pPr>
        <w:keepNext/>
        <w:spacing w:lineRule="auto" w:line="360" w:before="80" w:after="80"/>
        <w:ind w:firstLine="0"/>
        <w:jc w:val="center"/>
      </w:pPr>
      <w:r>
        <w:rPr>
          <w:rFonts w:ascii="Times New Roman" w:hAnsi="Times New Roman" w:eastAsia="黑体"/>
          <w:b w:val="0"/>
          <w:i w:val="0"/>
          <w:color w:val="000000"/>
          <w:sz w:val="18"/>
        </w:rPr>
        <w:t>表1  实验环境</w:t>
      </w:r>
    </w:p>
    <w:tbl>
      <w:tblPr>
        <w:tblW w:type="auto" w:w="0"/>
        <w:jc w:val="center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</w:trPr>
        <w:tc>
          <w:tcPr>
            <w:tcW w:type="dxa" w:w="4536"/>
            <w:tcBorders>
              <w:top w:val="single" w:sz="12" w:color="000000"/>
              <w:bottom w:val="single" w:sz="6" w:color="000000"/>
            </w:tcBorders>
            <w:vAlign w:val="center"/>
          </w:tcPr>
          <w:p>
            <w:pPr>
              <w:keepNext/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类别</w:t>
            </w:r>
          </w:p>
        </w:tc>
        <w:tc>
          <w:tcPr>
            <w:tcW w:type="dxa" w:w="4536"/>
            <w:tcBorders>
              <w:top w:val="single" w:sz="12" w:color="000000"/>
              <w:bottom w:val="single" w:sz="6" w:color="000000"/>
            </w:tcBorders>
            <w:vAlign w:val="center"/>
          </w:tcPr>
          <w:p>
            <w:pPr>
              <w:keepNext/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配置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keepNext/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操作系统</w:t>
            </w:r>
          </w:p>
        </w:tc>
        <w:tc>
          <w:tcPr>
            <w:tcW w:type="dxa" w:w="4536"/>
            <w:vAlign w:val="center"/>
          </w:tcPr>
          <w:p>
            <w:pPr>
              <w:keepNext/>
              <w:spacing w:lineRule="auto" w:line="240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Windows 11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keepNext/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GPU</w:t>
            </w:r>
          </w:p>
        </w:tc>
        <w:tc>
          <w:tcPr>
            <w:tcW w:type="dxa" w:w="4536"/>
            <w:vAlign w:val="center"/>
          </w:tcPr>
          <w:p>
            <w:pPr>
              <w:keepNext/>
              <w:spacing w:lineRule="auto" w:line="240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NVIDIA GeForce RTX 3050 Ti Laptop GPU（4 GB）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keepNext/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深度学习框架</w:t>
            </w:r>
          </w:p>
        </w:tc>
        <w:tc>
          <w:tcPr>
            <w:tcW w:type="dxa" w:w="4536"/>
            <w:vAlign w:val="center"/>
          </w:tcPr>
          <w:p>
            <w:pPr>
              <w:keepNext/>
              <w:spacing w:lineRule="auto" w:line="240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PyTorch 2.6.0 + CUDA 12.4</w:t>
            </w:r>
          </w:p>
        </w:tc>
      </w:tr>
      <w:tr>
        <w:trPr>
          <w:cantSplit/>
        </w:trPr>
        <w:tc>
          <w:tcPr>
            <w:tcW w:type="dxa" w:w="4536"/>
            <w:tcBorders>
              <w:bottom w:val="single" w:sz="12" w:color="000000"/>
            </w:tcBorders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Python</w:t>
            </w:r>
          </w:p>
        </w:tc>
        <w:tc>
          <w:tcPr>
            <w:tcW w:type="dxa" w:w="4536"/>
            <w:tcBorders>
              <w:bottom w:val="single" w:sz="12" w:color="000000"/>
            </w:tcBorders>
            <w:vAlign w:val="center"/>
          </w:tcPr>
          <w:p>
            <w:pPr>
              <w:spacing w:lineRule="auto" w:line="240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3.11.4</w:t>
            </w:r>
          </w:p>
        </w:tc>
      </w:tr>
    </w:tbl>
    <w:p>
      <w:pPr>
        <w:pStyle w:val="Heading2"/>
        <w:spacing w:lineRule="auto" w:line="360" w:before="120" w:after="60"/>
        <w:ind w:firstLine="0"/>
        <w:jc w:val="left"/>
      </w:pPr>
      <w:r>
        <w:rPr>
          <w:rFonts w:ascii="Times New Roman" w:hAnsi="Times New Roman" w:eastAsia="黑体"/>
          <w:b/>
          <w:color w:val="000000"/>
          <w:sz w:val="21"/>
        </w:rPr>
        <w:t>4.2  实验设置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为避免用测试集选择模型，本文以固定种子从60 000张训练图像中划分出6 000张作为验证集（54 000训练/6 000验证），10 000张测试集仅用于最终评估。最优checkpoint依据验证集准确率选取（并列时取验证损失更低者），报告的测试准确率与测试损失均来自该checkpoint，口径一致。本文为单次运行（固定随机种子）；需要说明的是，MNIST上不同种子间的准确率波动约为±0.1个百分点，因此小于该量级的差异不宜解读为稳定提升。优化器为Adam（学习率0.001、权重衰减1e-4），批次大小64，训练30轮，采用CosineAnnealingLR学习率调度，Dropout为0.25；并固定随机种子、设置cudnn.deterministic=True。</w:t>
      </w:r>
    </w:p>
    <w:p>
      <w:pPr>
        <w:pStyle w:val="Heading2"/>
        <w:spacing w:lineRule="auto" w:line="360" w:before="120" w:after="60"/>
        <w:ind w:firstLine="0"/>
        <w:jc w:val="left"/>
      </w:pPr>
      <w:r>
        <w:rPr>
          <w:rFonts w:ascii="Times New Roman" w:hAnsi="Times New Roman" w:eastAsia="黑体"/>
          <w:b/>
          <w:color w:val="000000"/>
          <w:sz w:val="21"/>
        </w:rPr>
        <w:t>4.3  结果与分析</w:t>
      </w:r>
    </w:p>
    <w:p>
      <w:pPr>
        <w:pStyle w:val="Heading2"/>
        <w:spacing w:lineRule="auto" w:line="360" w:before="120" w:after="60"/>
        <w:ind w:firstLine="0"/>
        <w:jc w:val="left"/>
      </w:pPr>
      <w:r>
        <w:rPr>
          <w:rFonts w:ascii="Times New Roman" w:hAnsi="Times New Roman" w:eastAsia="黑体"/>
          <w:b/>
          <w:color w:val="000000"/>
          <w:sz w:val="21"/>
        </w:rPr>
        <w:t>4.3.1  整体性能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表2给出基线与最终改进模型的测试结果。需要强调的是，两模型的准确率差异很小，且处于MNIST约±0.1个百分点的随机波动范围内，说明在MNIST这一接近饱和的任务上，BN+SE并未带来显著的准确率提升；其更明确的作用体现在收敛过程（见4.3.2）。</w:t>
      </w:r>
    </w:p>
    <w:p>
      <w:pPr>
        <w:keepNext/>
        <w:spacing w:lineRule="auto" w:line="360" w:before="80" w:after="80"/>
        <w:ind w:firstLine="0"/>
        <w:jc w:val="center"/>
      </w:pPr>
      <w:r>
        <w:rPr>
          <w:rFonts w:ascii="Times New Roman" w:hAnsi="Times New Roman" w:eastAsia="黑体"/>
          <w:b w:val="0"/>
          <w:i w:val="0"/>
          <w:color w:val="000000"/>
          <w:sz w:val="18"/>
        </w:rPr>
        <w:t>表2  基线与SE-BN-LeNet性能对比（单次运行，30轮）</w:t>
      </w:r>
    </w:p>
    <w:tbl>
      <w:tblPr>
        <w:tblW w:type="auto" w:w="0"/>
        <w:jc w:val="center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type="dxa" w:w="1814"/>
            <w:tcBorders>
              <w:top w:val="single" w:sz="12" w:color="000000"/>
              <w:bottom w:val="single" w:sz="6" w:color="000000"/>
            </w:tcBorders>
            <w:vAlign w:val="center"/>
          </w:tcPr>
          <w:p>
            <w:pPr>
              <w:keepNext/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模型</w:t>
            </w:r>
          </w:p>
        </w:tc>
        <w:tc>
          <w:tcPr>
            <w:tcW w:type="dxa" w:w="1814"/>
            <w:tcBorders>
              <w:top w:val="single" w:sz="12" w:color="000000"/>
              <w:bottom w:val="single" w:sz="6" w:color="000000"/>
            </w:tcBorders>
            <w:vAlign w:val="center"/>
          </w:tcPr>
          <w:p>
            <w:pPr>
              <w:keepNext/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参数量</w:t>
            </w:r>
          </w:p>
        </w:tc>
        <w:tc>
          <w:tcPr>
            <w:tcW w:type="dxa" w:w="1814"/>
            <w:tcBorders>
              <w:top w:val="single" w:sz="12" w:color="000000"/>
              <w:bottom w:val="single" w:sz="6" w:color="000000"/>
            </w:tcBorders>
            <w:vAlign w:val="center"/>
          </w:tcPr>
          <w:p>
            <w:pPr>
              <w:keepNext/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测试准确率(%)</w:t>
            </w:r>
          </w:p>
        </w:tc>
        <w:tc>
          <w:tcPr>
            <w:tcW w:type="dxa" w:w="1814"/>
            <w:tcBorders>
              <w:top w:val="single" w:sz="12" w:color="000000"/>
              <w:bottom w:val="single" w:sz="6" w:color="000000"/>
            </w:tcBorders>
            <w:vAlign w:val="center"/>
          </w:tcPr>
          <w:p>
            <w:pPr>
              <w:keepNext/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测试损失</w:t>
            </w:r>
          </w:p>
        </w:tc>
        <w:tc>
          <w:tcPr>
            <w:tcW w:type="dxa" w:w="1814"/>
            <w:tcBorders>
              <w:top w:val="single" w:sz="12" w:color="000000"/>
              <w:bottom w:val="single" w:sz="6" w:color="000000"/>
            </w:tcBorders>
            <w:vAlign w:val="center"/>
          </w:tcPr>
          <w:p>
            <w:pPr>
              <w:keepNext/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单样本时延(ms)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LeNet-5（基线）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61,706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99.25%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0.0308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0.687</w:t>
            </w:r>
          </w:p>
        </w:tc>
      </w:tr>
      <w:tr>
        <w:trPr>
          <w:cantSplit/>
        </w:trPr>
        <w:tc>
          <w:tcPr>
            <w:tcW w:type="dxa" w:w="1814"/>
            <w:tcBorders>
              <w:bottom w:val="single" w:sz="12" w:color="000000"/>
            </w:tcBorders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SE-BN-LeNet</w:t>
            </w:r>
          </w:p>
        </w:tc>
        <w:tc>
          <w:tcPr>
            <w:tcW w:type="dxa" w:w="1814"/>
            <w:tcBorders>
              <w:bottom w:val="single" w:sz="12" w:color="000000"/>
            </w:tcBorders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76,390</w:t>
            </w:r>
          </w:p>
        </w:tc>
        <w:tc>
          <w:tcPr>
            <w:tcW w:type="dxa" w:w="1814"/>
            <w:tcBorders>
              <w:bottom w:val="single" w:sz="12" w:color="000000"/>
            </w:tcBorders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99.34%</w:t>
            </w:r>
          </w:p>
        </w:tc>
        <w:tc>
          <w:tcPr>
            <w:tcW w:type="dxa" w:w="1814"/>
            <w:tcBorders>
              <w:bottom w:val="single" w:sz="12" w:color="000000"/>
            </w:tcBorders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0.0221</w:t>
            </w:r>
          </w:p>
        </w:tc>
        <w:tc>
          <w:tcPr>
            <w:tcW w:type="dxa" w:w="1814"/>
            <w:tcBorders>
              <w:bottom w:val="single" w:sz="12" w:color="000000"/>
            </w:tcBorders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1.544</w:t>
            </w:r>
          </w:p>
        </w:tc>
      </w:tr>
    </w:tbl>
    <w:p>
      <w:pPr>
        <w:pStyle w:val="Heading2"/>
        <w:spacing w:lineRule="auto" w:line="360" w:before="120" w:after="60"/>
        <w:ind w:firstLine="0"/>
        <w:jc w:val="left"/>
      </w:pPr>
      <w:r>
        <w:rPr>
          <w:rFonts w:ascii="Times New Roman" w:hAnsi="Times New Roman" w:eastAsia="黑体"/>
          <w:b/>
          <w:color w:val="000000"/>
          <w:sz w:val="21"/>
        </w:rPr>
        <w:t>4.3.2  收敛曲线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图1、图2给出两模型在训练、验证与测试集上的准确率与损失曲线。可以观察到：含BN的模型在训练初期准确率上升更快、损失下降更迅速，且曲线整体更平稳，这与BN“稳定并加快收敛”的作用一致；但在训练后期，两模型的测试准确率趋于同一水平，差距不再明显。这说明BN在本任务中的主要价值是改善训练过程，而非显著抬高最终准确率。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0398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39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before="80" w:after="80"/>
        <w:ind w:firstLine="0"/>
        <w:jc w:val="center"/>
      </w:pPr>
      <w:r>
        <w:rPr>
          <w:rFonts w:ascii="Times New Roman" w:hAnsi="Times New Roman" w:eastAsia="黑体"/>
          <w:b w:val="0"/>
          <w:i w:val="0"/>
          <w:color w:val="000000"/>
          <w:sz w:val="18"/>
        </w:rPr>
        <w:t>图1  训练、验证与测试准确率曲线对比（单次运行）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0398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s_comparis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39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before="80" w:after="80"/>
        <w:ind w:firstLine="0"/>
        <w:jc w:val="center"/>
      </w:pPr>
      <w:r>
        <w:rPr>
          <w:rFonts w:ascii="Times New Roman" w:hAnsi="Times New Roman" w:eastAsia="黑体"/>
          <w:b w:val="0"/>
          <w:i w:val="0"/>
          <w:color w:val="000000"/>
          <w:sz w:val="18"/>
        </w:rPr>
        <w:t>图2  训练、验证与测试损失曲线对比（单次运行）</w:t>
      </w:r>
    </w:p>
    <w:p>
      <w:pPr>
        <w:pStyle w:val="Heading2"/>
        <w:spacing w:lineRule="auto" w:line="360" w:before="120" w:after="60"/>
        <w:ind w:firstLine="0"/>
        <w:jc w:val="left"/>
      </w:pPr>
      <w:r>
        <w:rPr>
          <w:rFonts w:ascii="Times New Roman" w:hAnsi="Times New Roman" w:eastAsia="黑体"/>
          <w:b/>
          <w:color w:val="000000"/>
          <w:sz w:val="21"/>
        </w:rPr>
        <w:t>4.3.3  混淆矩阵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图3给出基线与SE-BN-LeNet在测试集上的混淆矩阵。两模型的错误都集中在形态相近的数字对（如3与8、4与9、5与6），整体分布高度相似，未见改进模型在特定易混类别上的系统性改善。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0000" cy="3622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LeNet-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62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before="80" w:after="80"/>
        <w:ind w:firstLine="0"/>
        <w:jc w:val="center"/>
      </w:pPr>
      <w:r>
        <w:rPr>
          <w:rFonts w:ascii="Times New Roman" w:hAnsi="Times New Roman" w:eastAsia="黑体"/>
          <w:b w:val="0"/>
          <w:i w:val="0"/>
          <w:color w:val="000000"/>
          <w:sz w:val="18"/>
        </w:rPr>
        <w:t>图3(a)  LeNet-5混淆矩阵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0000" cy="362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SE-BN-LeNe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62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before="80" w:after="80"/>
        <w:ind w:firstLine="0"/>
        <w:jc w:val="center"/>
      </w:pPr>
      <w:r>
        <w:rPr>
          <w:rFonts w:ascii="Times New Roman" w:hAnsi="Times New Roman" w:eastAsia="黑体"/>
          <w:b w:val="0"/>
          <w:i w:val="0"/>
          <w:color w:val="000000"/>
          <w:sz w:val="18"/>
        </w:rPr>
        <w:t>图3(b)  SE-BN-LeNet混淆矩阵</w:t>
      </w:r>
    </w:p>
    <w:p>
      <w:pPr>
        <w:pStyle w:val="Heading2"/>
        <w:spacing w:lineRule="auto" w:line="360" w:before="120" w:after="60"/>
        <w:ind w:firstLine="0"/>
        <w:jc w:val="left"/>
      </w:pPr>
      <w:r>
        <w:rPr>
          <w:rFonts w:ascii="Times New Roman" w:hAnsi="Times New Roman" w:eastAsia="黑体"/>
          <w:b/>
          <w:color w:val="000000"/>
          <w:sz w:val="21"/>
        </w:rPr>
        <w:t>4.4  消融实验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表3给出四个配置的测试准确率，用于分离BN与SE的贡献。</w:t>
      </w:r>
    </w:p>
    <w:p>
      <w:pPr>
        <w:keepNext/>
        <w:spacing w:lineRule="auto" w:line="360" w:before="80" w:after="80"/>
        <w:ind w:firstLine="0"/>
        <w:jc w:val="center"/>
      </w:pPr>
      <w:r>
        <w:rPr>
          <w:rFonts w:ascii="Times New Roman" w:hAnsi="Times New Roman" w:eastAsia="黑体"/>
          <w:b w:val="0"/>
          <w:i w:val="0"/>
          <w:color w:val="000000"/>
          <w:sz w:val="18"/>
        </w:rPr>
        <w:t>表3  消融实验（单次运行，测试准确率）</w:t>
      </w:r>
    </w:p>
    <w:tbl>
      <w:tblPr>
        <w:tblW w:type="auto" w:w="0"/>
        <w:jc w:val="center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</w:trPr>
        <w:tc>
          <w:tcPr>
            <w:tcW w:type="dxa" w:w="3024"/>
            <w:tcBorders>
              <w:top w:val="single" w:sz="12" w:color="000000"/>
              <w:bottom w:val="single" w:sz="6" w:color="000000"/>
            </w:tcBorders>
            <w:vAlign w:val="center"/>
          </w:tcPr>
          <w:p>
            <w:pPr>
              <w:keepNext/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模型配置</w:t>
            </w:r>
          </w:p>
        </w:tc>
        <w:tc>
          <w:tcPr>
            <w:tcW w:type="dxa" w:w="3024"/>
            <w:tcBorders>
              <w:top w:val="single" w:sz="12" w:color="000000"/>
              <w:bottom w:val="single" w:sz="6" w:color="000000"/>
            </w:tcBorders>
            <w:vAlign w:val="center"/>
          </w:tcPr>
          <w:p>
            <w:pPr>
              <w:keepNext/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参数量</w:t>
            </w:r>
          </w:p>
        </w:tc>
        <w:tc>
          <w:tcPr>
            <w:tcW w:type="dxa" w:w="3024"/>
            <w:tcBorders>
              <w:top w:val="single" w:sz="12" w:color="000000"/>
              <w:bottom w:val="single" w:sz="6" w:color="000000"/>
            </w:tcBorders>
            <w:vAlign w:val="center"/>
          </w:tcPr>
          <w:p>
            <w:pPr>
              <w:keepNext/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测试准确率(%)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lineRule="auto" w:line="240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LeNet-5（基线）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61,706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99.25%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lineRule="auto" w:line="240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+SE（仅通道门控）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76,106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99.25%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lineRule="auto" w:line="240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+BN（仅批归一化）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61,990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99.33%</w:t>
            </w:r>
          </w:p>
        </w:tc>
      </w:tr>
      <w:tr>
        <w:trPr>
          <w:cantSplit/>
        </w:trPr>
        <w:tc>
          <w:tcPr>
            <w:tcW w:type="dxa" w:w="3024"/>
            <w:tcBorders>
              <w:bottom w:val="single" w:sz="12" w:color="000000"/>
            </w:tcBorders>
            <w:vAlign w:val="center"/>
          </w:tcPr>
          <w:p>
            <w:pPr>
              <w:spacing w:lineRule="auto" w:line="240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+BN+SE（SE-BN-LeNet）</w:t>
            </w:r>
          </w:p>
        </w:tc>
        <w:tc>
          <w:tcPr>
            <w:tcW w:type="dxa" w:w="3024"/>
            <w:tcBorders>
              <w:bottom w:val="single" w:sz="12" w:color="000000"/>
            </w:tcBorders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76,390</w:t>
            </w:r>
          </w:p>
        </w:tc>
        <w:tc>
          <w:tcPr>
            <w:tcW w:type="dxa" w:w="3024"/>
            <w:tcBorders>
              <w:bottom w:val="single" w:sz="12" w:color="000000"/>
            </w:tcBorders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99.34%</w:t>
            </w:r>
          </w:p>
        </w:tc>
      </w:tr>
    </w:tbl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从表3可以读出三点：第一，仅加SE的结果与基线相当甚至略低，未测得增益，这与其在1×1特征上退化为MLP门控、且MNIST任务本身较简单相符；第二，仅加BN的结果与基线差异很小，其主要贡献在于收敛更快、更稳定；第三，BN+SE与仅BN的结果几乎相同，未观察到二者的协同效应。</w:t>
      </w:r>
    </w:p>
    <w:p>
      <w:r>
        <w:br w:type="page"/>
      </w:r>
    </w:p>
    <w:p>
      <w:pPr>
        <w:pStyle w:val="Heading2"/>
        <w:spacing w:lineRule="auto" w:line="360" w:before="120" w:after="60"/>
        <w:ind w:firstLine="0"/>
        <w:jc w:val="left"/>
      </w:pPr>
      <w:r>
        <w:rPr>
          <w:rFonts w:ascii="Times New Roman" w:hAnsi="Times New Roman" w:eastAsia="黑体"/>
          <w:b/>
          <w:color w:val="000000"/>
          <w:sz w:val="21"/>
        </w:rPr>
        <w:t>4.5  开销分析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表4给出四个模型的参数量、单次前向乘加运算量（MACs）与实测单样本推理时延。相对于基线的61 706个参数，SE-LeNet与SE-BN-LeNet分别为76 106与76 390个参数，即SE门控额外引入约1.47万个参数、参数量增加约23.8%；BN只引入归一化的缩放与平移参数，不增加卷积与全连接权重，参数量基本不变。从MACs看，SE仅在120维特征上增加少量全连接运算；实测时延方面，BN-LeNet与基线接近，而加入SE的模型时延有所上升，SE-BN-LeNet单样本时延约1.54 ms。这表明参数量、计算量与时延是不同的开销维度：SE以额外参数和一定时延为代价换取门控能力，而在本任务中并未带来相应的准确率收益。</w:t>
      </w:r>
    </w:p>
    <w:p>
      <w:pPr>
        <w:keepNext/>
        <w:spacing w:lineRule="auto" w:line="360" w:before="80" w:after="80"/>
        <w:ind w:firstLine="0"/>
        <w:jc w:val="center"/>
      </w:pPr>
      <w:r>
        <w:rPr>
          <w:rFonts w:ascii="Times New Roman" w:hAnsi="Times New Roman" w:eastAsia="黑体"/>
          <w:b w:val="0"/>
          <w:i w:val="0"/>
          <w:color w:val="000000"/>
          <w:sz w:val="18"/>
        </w:rPr>
        <w:t>表4  各模型开销对比</w:t>
      </w:r>
    </w:p>
    <w:tbl>
      <w:tblPr>
        <w:tblW w:type="auto" w:w="0"/>
        <w:jc w:val="center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type="dxa" w:w="2268"/>
            <w:tcBorders>
              <w:top w:val="single" w:sz="12" w:color="000000"/>
              <w:bottom w:val="single" w:sz="6" w:color="000000"/>
            </w:tcBorders>
            <w:vAlign w:val="center"/>
          </w:tcPr>
          <w:p>
            <w:pPr>
              <w:keepNext/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模型</w:t>
            </w:r>
          </w:p>
        </w:tc>
        <w:tc>
          <w:tcPr>
            <w:tcW w:type="dxa" w:w="2268"/>
            <w:tcBorders>
              <w:top w:val="single" w:sz="12" w:color="000000"/>
              <w:bottom w:val="single" w:sz="6" w:color="000000"/>
            </w:tcBorders>
            <w:vAlign w:val="center"/>
          </w:tcPr>
          <w:p>
            <w:pPr>
              <w:keepNext/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参数量</w:t>
            </w:r>
          </w:p>
        </w:tc>
        <w:tc>
          <w:tcPr>
            <w:tcW w:type="dxa" w:w="2268"/>
            <w:tcBorders>
              <w:top w:val="single" w:sz="12" w:color="000000"/>
              <w:bottom w:val="single" w:sz="6" w:color="000000"/>
            </w:tcBorders>
            <w:vAlign w:val="center"/>
          </w:tcPr>
          <w:p>
            <w:pPr>
              <w:keepNext/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MACs</w:t>
            </w:r>
          </w:p>
        </w:tc>
        <w:tc>
          <w:tcPr>
            <w:tcW w:type="dxa" w:w="2268"/>
            <w:tcBorders>
              <w:top w:val="single" w:sz="12" w:color="000000"/>
              <w:bottom w:val="single" w:sz="6" w:color="000000"/>
            </w:tcBorders>
            <w:vAlign w:val="center"/>
          </w:tcPr>
          <w:p>
            <w:pPr>
              <w:keepNext/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单样本时延(ms)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spacing w:lineRule="auto" w:line="240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LeNet-5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61,706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416,520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0.687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spacing w:lineRule="auto" w:line="240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SE-LeNet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76,106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430,920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0.922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spacing w:lineRule="auto" w:line="240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BN-LeNet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61,990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416,520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0.821</w:t>
            </w:r>
          </w:p>
        </w:tc>
      </w:tr>
      <w:tr>
        <w:trPr>
          <w:cantSplit/>
        </w:trPr>
        <w:tc>
          <w:tcPr>
            <w:tcW w:type="dxa" w:w="2268"/>
            <w:tcBorders>
              <w:bottom w:val="single" w:sz="12" w:color="000000"/>
            </w:tcBorders>
            <w:vAlign w:val="center"/>
          </w:tcPr>
          <w:p>
            <w:pPr>
              <w:spacing w:lineRule="auto" w:line="240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SE-BN-LeNet</w:t>
            </w:r>
          </w:p>
        </w:tc>
        <w:tc>
          <w:tcPr>
            <w:tcW w:type="dxa" w:w="2268"/>
            <w:tcBorders>
              <w:bottom w:val="single" w:sz="12" w:color="000000"/>
            </w:tcBorders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76,390</w:t>
            </w:r>
          </w:p>
        </w:tc>
        <w:tc>
          <w:tcPr>
            <w:tcW w:type="dxa" w:w="2268"/>
            <w:tcBorders>
              <w:bottom w:val="single" w:sz="12" w:color="000000"/>
            </w:tcBorders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430,920</w:t>
            </w:r>
          </w:p>
        </w:tc>
        <w:tc>
          <w:tcPr>
            <w:tcW w:type="dxa" w:w="2268"/>
            <w:tcBorders>
              <w:bottom w:val="single" w:sz="12" w:color="000000"/>
            </w:tcBorders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1.544</w:t>
            </w:r>
          </w:p>
        </w:tc>
      </w:tr>
    </w:tbl>
    <w:p>
      <w:pPr>
        <w:pStyle w:val="Heading1"/>
        <w:spacing w:lineRule="auto" w:line="360" w:before="240" w:after="120"/>
        <w:ind w:firstLine="0"/>
        <w:jc w:val="left"/>
      </w:pPr>
      <w:r>
        <w:rPr>
          <w:rFonts w:ascii="Times New Roman" w:hAnsi="Times New Roman" w:eastAsia="黑体"/>
          <w:b/>
          <w:color w:val="000000"/>
          <w:sz w:val="24"/>
        </w:rPr>
        <w:t>5  结论与局限性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本文复现了LeNet-5结构在MNIST上的训练，并以验证集选模型、固定种子的规范方式，考察了BN与SE通道门控的真实作用。主要结论为：（1）BN的主要贡献是稳定并加快训练收敛，在MNIST上对最终测试准确率的提升处于随机波动范围内；（2）由于SE被置于空间尺寸为1×1的C5特征之后，其退化为120维特征上的MLP门控，未测得准确率增益；（3）BN与SE之间未观察到协同效应，二者组合与仅BN基本相同。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本研究的局限性在于：仅在MNIST单一、且已接近饱和的基准上进行，未使用数据增强，种子数量与统计功效有限；SE的放置位置（1×1特征之后）本身也限制了其作用。若要充分检验通道注意力的价值，应在CIFAR-10等更复杂、特征空间尺寸更大的任务上，将SE置于中高层、并配合更多种子与独立验证集进一步研究。</w:t>
      </w:r>
    </w:p>
    <w:p>
      <w:pPr>
        <w:pStyle w:val="Heading1"/>
        <w:spacing w:lineRule="auto" w:line="360" w:before="240" w:after="120"/>
        <w:ind w:firstLine="0"/>
        <w:jc w:val="left"/>
      </w:pPr>
      <w:r>
        <w:rPr>
          <w:rFonts w:ascii="Times New Roman" w:hAnsi="Times New Roman" w:eastAsia="黑体"/>
          <w:b/>
          <w:color w:val="000000"/>
          <w:sz w:val="24"/>
        </w:rPr>
        <w:t>参考文献</w:t>
      </w:r>
    </w:p>
    <w:p>
      <w:pPr>
        <w:spacing w:lineRule="auto" w:line="240" w:after="40"/>
        <w:ind w:left="420" w:hanging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[1] LECUN Y, BOTTOU L, BENGIO Y, et al. Gradient-based learning applied to document recognition[J]. Proceedings of the IEEE, 1998, 86(11): 2278-2324.</w:t>
      </w:r>
    </w:p>
    <w:p>
      <w:pPr>
        <w:spacing w:lineRule="auto" w:line="240" w:after="40"/>
        <w:ind w:left="420" w:hanging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[2] KRIZHEVSKY A, SUTSKEVER I, HINTON G E. ImageNet classification with deep convolutional neural networks[J]. Communications of the ACM, 2017, 60(6): 84-90.</w:t>
      </w:r>
    </w:p>
    <w:p>
      <w:pPr>
        <w:spacing w:lineRule="auto" w:line="240" w:after="40"/>
        <w:ind w:left="420" w:hanging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[3] SIMONYAN K, ZISSERMAN A. Very deep convolutional networks for large-scale image recognition[J/OL]. arXiv:1409.1556, 2014.</w:t>
      </w:r>
    </w:p>
    <w:p>
      <w:pPr>
        <w:spacing w:lineRule="auto" w:line="240" w:after="40"/>
        <w:ind w:left="420" w:hanging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[4] HE K, ZHANG X, REN S, et al. Deep residual learning for recognition[C]//CVPR. 2016: 770-778.</w:t>
      </w:r>
    </w:p>
    <w:p>
      <w:pPr>
        <w:spacing w:lineRule="auto" w:line="240" w:after="40"/>
        <w:ind w:left="420" w:hanging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[5] IOFFE S, SZEGEDY C. Batch normalization: Accelerating deep network training by reducing internal covariate shift[C]//ICML. PMLR, 2015, 37: 448-456.</w:t>
      </w:r>
    </w:p>
    <w:p>
      <w:pPr>
        <w:spacing w:lineRule="auto" w:line="240" w:after="40"/>
        <w:ind w:left="420" w:hanging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[6] HU J, SHEN L, SUN G. Squeeze-and-excitation networks[C]//CVPR. 2018: 7132-7141.</w:t>
      </w:r>
    </w:p>
    <w:p>
      <w:pPr>
        <w:spacing w:lineRule="auto" w:line="240" w:after="40"/>
        <w:ind w:left="420" w:hanging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[7] WOO S, PARK J, LEE J Y, et al. CBAM: Convolutional block attention module[C]//ECCV. 2018: 3-19.</w:t>
      </w:r>
    </w:p>
    <w:p>
      <w:pPr>
        <w:spacing w:lineRule="auto" w:line="240" w:after="40"/>
        <w:ind w:left="420" w:hanging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[8] LECUN Y, CORTES C, BURGES C J. MNIST handwritten digit database[EB/OL]. http://yann.lecun.com/exdb/mnist/.</w:t>
      </w:r>
    </w:p>
    <w:p>
      <w:pPr>
        <w:spacing w:lineRule="auto" w:line="240" w:after="40"/>
        <w:ind w:left="420" w:hanging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[9] 段莉莉, 章磊. 一种基于改进型卷积神经网络的手写数字识别方法[J]. 现代电子技术, 2021, 44(18): 107-110.</w:t>
      </w:r>
    </w:p>
    <w:p>
      <w:pPr>
        <w:spacing w:lineRule="auto" w:line="240" w:after="40"/>
        <w:ind w:left="420" w:hanging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[10] 李波燕, 张勇, 袁德荣, 等. 基于注意力机制的手写体数字识别[J]. 计算机科学, 2022, 49(11A): 211100009-5.</w:t>
      </w:r>
    </w:p>
    <w:p>
      <w:pPr>
        <w:spacing w:lineRule="auto" w:line="240" w:after="40"/>
        <w:ind w:left="420" w:hanging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[11] 牟世桂. 基于卷积神经网络的MNIST手写数字识别优化研究[J]. 计算机应用文摘, 2025(3): 81-83,86.</w:t>
      </w:r>
    </w:p>
    <w:p>
      <w:pPr>
        <w:spacing w:lineRule="auto" w:line="240" w:after="40"/>
        <w:ind w:left="420" w:hanging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[12] IWANA B K, KUSUDA A. Vision Conformer: Incorporating convolutions into vision transformer layers[C/OL]//ICDAR. 2023. arXiv:2304.13991.</w:t>
      </w:r>
    </w:p>
    <w:p>
      <w:r>
        <w:br w:type="page"/>
      </w:r>
    </w:p>
    <w:p>
      <w:pPr>
        <w:pStyle w:val="Heading1"/>
        <w:spacing w:lineRule="auto" w:line="360" w:before="240" w:after="120"/>
        <w:ind w:firstLine="0"/>
        <w:jc w:val="left"/>
      </w:pPr>
      <w:r>
        <w:rPr>
          <w:rFonts w:ascii="Times New Roman" w:hAnsi="Times New Roman" w:eastAsia="黑体"/>
          <w:b/>
          <w:color w:val="000000"/>
          <w:sz w:val="24"/>
        </w:rPr>
        <w:t>附录A  代码与复现说明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全部实验代码、训练日志与模型权重位于项目目录。models.py包含四个模型与SE门控；train_all_models.py为训练主脚本（自动划分验证集、下载MNIST、按验证集保存最优权重、输出metrics.json与曲线），支持--seeds参数；analysis.py读取metrics.json生成对比曲线与基线/改进模型的混淆矩阵。复现步骤：（1）安装PyTorch与torchvision，再安装numpy、matplotlib；（2）python train_all_models.py --seeds 42；（3）python analysis.py。数据集由脚本自动下载，无需手工提供。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i w:val="0"/>
        <w:color w:val="00000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LeNet-5手写数字识别复现：批归一化与通道门控的消融研究</dc:title>
  <dc:subject>卷积神经网络 手写数字识别 消融实验</dc:subject>
  <dc:creator>张子泊</dc:creator>
  <cp:keywords/>
  <dc:description>generated by python-docx</dc:description>
  <cp:lastModifiedBy>张子泊</cp:lastModifiedBy>
  <cp:revision>1</cp:revision>
  <dcterms:created xsi:type="dcterms:W3CDTF">2026-10-28T23:57:03Z</dcterms:created>
  <dcterms:modified xsi:type="dcterms:W3CDTF">2026-10-28T23:57:03Z</dcterms:modified>
  <cp:category/>
</cp:coreProperties>
</file>