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2EAF" w14:textId="77777777" w:rsidR="00C757DD" w:rsidRDefault="00000000">
      <w:pPr>
        <w:pStyle w:val="Title"/>
        <w:jc w:val="center"/>
      </w:pPr>
      <w:r>
        <w:t>Dual-Layer Piston-Ring and Elastomer Seal for Vibration and Shock-Resilient Carousel Isolation</w:t>
      </w:r>
    </w:p>
    <w:p w14:paraId="589CD986" w14:textId="77777777" w:rsidR="00C757DD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A novel double-layer dustproof and leak-proof sealed turntable bearing</w:t>
      </w:r>
      <w:r>
        <w:br/>
      </w:r>
      <w:r>
        <w:rPr>
          <w:b/>
        </w:rPr>
        <w:t xml:space="preserve">TRIZ: </w:t>
      </w:r>
      <w:r>
        <w:t>Segmentation (Principle #1)</w:t>
      </w:r>
      <w:r>
        <w:br/>
      </w:r>
      <w:r>
        <w:rPr>
          <w:b/>
        </w:rPr>
        <w:t xml:space="preserve">Analysis Method: </w:t>
      </w:r>
      <w:r>
        <w:t>Substance-field analysis</w:t>
      </w:r>
    </w:p>
    <w:p w14:paraId="6E273B35" w14:textId="77777777" w:rsidR="002E0CC4" w:rsidRDefault="002E0CC4"/>
    <w:p w14:paraId="05BF7B8C" w14:textId="0E44A3DA" w:rsidR="002E0CC4" w:rsidRDefault="002E0CC4">
      <w:r>
        <w:rPr>
          <w:noProof/>
        </w:rPr>
        <w:drawing>
          <wp:inline distT="0" distB="0" distL="0" distR="0" wp14:anchorId="1CC45B50" wp14:editId="6D505A01">
            <wp:extent cx="6286500" cy="3087370"/>
            <wp:effectExtent l="0" t="0" r="0" b="0"/>
            <wp:docPr id="12058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BD61" w14:textId="77777777" w:rsidR="00C757DD" w:rsidRDefault="00000000">
      <w:r>
        <w:rPr>
          <w:b/>
        </w:rPr>
        <w:t xml:space="preserve">Cross-domain application: </w:t>
      </w:r>
      <w:r>
        <w:t>Each carousel cup rim is machined with a stepped groove housing a dual-layer seal: an inner PTFE piston ring provides low-friction primary sealing under 50–400 Hz steady-state vibration, while an outer fluoroelastomer O-ring in a W-shaped expansion groove absorbs 2–5 g percussion shock impulses and compensates for radial offset.</w:t>
      </w:r>
    </w:p>
    <w:p w14:paraId="1240E027" w14:textId="77777777" w:rsidR="00D265A0" w:rsidRDefault="00D265A0"/>
    <w:p w14:paraId="0D2CDB19" w14:textId="77777777" w:rsidR="00D265A0" w:rsidRDefault="00D265A0"/>
    <w:p w14:paraId="1EDAE198" w14:textId="77777777" w:rsidR="00C757DD" w:rsidRDefault="00000000">
      <w:pPr>
        <w:pStyle w:val="Heading1"/>
      </w:pPr>
      <w:r>
        <w:lastRenderedPageBreak/>
        <w:t>Original Problem</w:t>
      </w:r>
    </w:p>
    <w:p w14:paraId="4E0D5644" w14:textId="77777777" w:rsidR="00C757DD" w:rsidRDefault="00000000">
      <w:r>
        <w:rPr>
          <w:b/>
        </w:rPr>
        <w:t xml:space="preserve">Leakage path &amp; bottleneck: </w:t>
      </w:r>
      <w:r>
        <w:t>Seal lift-off and radial offset under vibration and shock create aerosol leakage paths, compromising biohazard isolation.</w:t>
      </w:r>
    </w:p>
    <w:p w14:paraId="70B34491" w14:textId="77777777" w:rsidR="00C757DD" w:rsidRDefault="00000000">
      <w:pPr>
        <w:pStyle w:val="Heading1"/>
      </w:pPr>
      <w:r>
        <w:t>Core Modification</w:t>
      </w:r>
    </w:p>
    <w:p w14:paraId="285A7506" w14:textId="77777777" w:rsidR="00C757DD" w:rsidRDefault="00000000">
      <w:r>
        <w:rPr>
          <w:b/>
        </w:rPr>
        <w:t xml:space="preserve">Dual-layer seal cartridge in stepped groove: </w:t>
      </w:r>
      <w:r>
        <w:t>No disassembly required for field replacement.</w:t>
      </w:r>
    </w:p>
    <w:p w14:paraId="314834E2" w14:textId="77777777" w:rsidR="00C757DD" w:rsidRDefault="00000000">
      <w:pPr>
        <w:pStyle w:val="Heading1"/>
      </w:pPr>
      <w:r>
        <w:t>Seal Layer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757DD" w14:paraId="57D21D00" w14:textId="77777777">
        <w:tc>
          <w:tcPr>
            <w:tcW w:w="2880" w:type="dxa"/>
            <w:shd w:val="clear" w:color="auto" w:fill="2F5496"/>
          </w:tcPr>
          <w:p w14:paraId="3A218371" w14:textId="77777777" w:rsidR="00C757DD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2880" w:type="dxa"/>
            <w:shd w:val="clear" w:color="auto" w:fill="2F5496"/>
          </w:tcPr>
          <w:p w14:paraId="32BC4883" w14:textId="77777777" w:rsidR="00C757DD" w:rsidRDefault="00000000">
            <w:r>
              <w:rPr>
                <w:b/>
                <w:color w:val="FFFFFF"/>
              </w:rPr>
              <w:t>Material / Geometry</w:t>
            </w:r>
          </w:p>
        </w:tc>
        <w:tc>
          <w:tcPr>
            <w:tcW w:w="2880" w:type="dxa"/>
            <w:shd w:val="clear" w:color="auto" w:fill="2F5496"/>
          </w:tcPr>
          <w:p w14:paraId="7C36A7D9" w14:textId="77777777" w:rsidR="00C757DD" w:rsidRDefault="00000000">
            <w:r>
              <w:rPr>
                <w:b/>
                <w:color w:val="FFFFFF"/>
              </w:rPr>
              <w:t>Function</w:t>
            </w:r>
          </w:p>
        </w:tc>
      </w:tr>
      <w:tr w:rsidR="00C757DD" w14:paraId="3197C586" w14:textId="77777777">
        <w:tc>
          <w:tcPr>
            <w:tcW w:w="2880" w:type="dxa"/>
          </w:tcPr>
          <w:p w14:paraId="32AF7BDE" w14:textId="77777777" w:rsidR="00C757DD" w:rsidRDefault="00000000">
            <w:r>
              <w:t>Inner (Primary)</w:t>
            </w:r>
          </w:p>
        </w:tc>
        <w:tc>
          <w:tcPr>
            <w:tcW w:w="2880" w:type="dxa"/>
          </w:tcPr>
          <w:p w14:paraId="112FB896" w14:textId="77777777" w:rsidR="00C757DD" w:rsidRDefault="00000000">
            <w:r>
              <w:t>PTFE piston ring</w:t>
            </w:r>
          </w:p>
        </w:tc>
        <w:tc>
          <w:tcPr>
            <w:tcW w:w="2880" w:type="dxa"/>
          </w:tcPr>
          <w:p w14:paraId="6EC90A29" w14:textId="77777777" w:rsidR="00C757DD" w:rsidRDefault="00000000">
            <w:r>
              <w:t>Low-friction sealing under 50–400 Hz vibration</w:t>
            </w:r>
          </w:p>
        </w:tc>
      </w:tr>
      <w:tr w:rsidR="00C757DD" w14:paraId="715FDEC3" w14:textId="77777777">
        <w:tc>
          <w:tcPr>
            <w:tcW w:w="2880" w:type="dxa"/>
          </w:tcPr>
          <w:p w14:paraId="26817E9F" w14:textId="77777777" w:rsidR="00C757DD" w:rsidRDefault="00000000">
            <w:r>
              <w:t>Outer (Secondary)</w:t>
            </w:r>
          </w:p>
        </w:tc>
        <w:tc>
          <w:tcPr>
            <w:tcW w:w="2880" w:type="dxa"/>
          </w:tcPr>
          <w:p w14:paraId="50E3648A" w14:textId="77777777" w:rsidR="00C757DD" w:rsidRDefault="00000000">
            <w:r>
              <w:t>FKM O-ring in W-groove</w:t>
            </w:r>
          </w:p>
        </w:tc>
        <w:tc>
          <w:tcPr>
            <w:tcW w:w="2880" w:type="dxa"/>
          </w:tcPr>
          <w:p w14:paraId="3E94E69D" w14:textId="77777777" w:rsidR="00C757DD" w:rsidRDefault="00000000">
            <w:r>
              <w:t>Absorbs 2–5 g shock impulses, compensates radial offset</w:t>
            </w:r>
          </w:p>
        </w:tc>
      </w:tr>
    </w:tbl>
    <w:p w14:paraId="05F1D4DB" w14:textId="77777777" w:rsidR="00C757DD" w:rsidRDefault="00000000">
      <w:pPr>
        <w:pStyle w:val="Heading1"/>
      </w:pPr>
      <w:r>
        <w:t>How It Solves &amp; System Impact</w:t>
      </w:r>
    </w:p>
    <w:p w14:paraId="297F8C55" w14:textId="77777777" w:rsidR="00C757DD" w:rsidRDefault="00000000">
      <w:pPr>
        <w:pStyle w:val="ListBullet"/>
      </w:pPr>
      <w:r>
        <w:t>Dual-layer redundancy maintains sub-micron aerosol isolation even if one layer degrades</w:t>
      </w:r>
    </w:p>
    <w:p w14:paraId="1D376A41" w14:textId="77777777" w:rsidR="00C757DD" w:rsidRDefault="00000000">
      <w:pPr>
        <w:pStyle w:val="ListBullet"/>
      </w:pPr>
      <w:r>
        <w:t>Snap-fit cartridge enables &lt;5 min field replacement (no disassembly)</w:t>
      </w:r>
    </w:p>
    <w:p w14:paraId="71F3FD20" w14:textId="77777777" w:rsidR="00C757DD" w:rsidRDefault="00000000">
      <w:pPr>
        <w:pStyle w:val="ListBullet"/>
      </w:pPr>
      <w:r>
        <w:t>Added mass: ~80 g per cup (960 g total for 12 cups)</w:t>
      </w:r>
    </w:p>
    <w:p w14:paraId="3842B9B3" w14:textId="77777777" w:rsidR="00C757DD" w:rsidRDefault="00000000">
      <w:pPr>
        <w:pStyle w:val="ListBullet"/>
      </w:pPr>
      <w:r>
        <w:t>No power, no active control — fully passive</w:t>
      </w:r>
    </w:p>
    <w:p w14:paraId="72DAD247" w14:textId="77777777" w:rsidR="00C757DD" w:rsidRDefault="00000000">
      <w:pPr>
        <w:pStyle w:val="ListBullet"/>
      </w:pPr>
      <w:r>
        <w:t>Fits within existing cup geometry</w:t>
      </w:r>
    </w:p>
    <w:p w14:paraId="4FC1EE38" w14:textId="77777777" w:rsidR="00C757DD" w:rsidRDefault="00000000">
      <w:pPr>
        <w:pStyle w:val="Heading1"/>
      </w:pPr>
      <w:r>
        <w:t>Validation Area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757DD" w14:paraId="6A84DDF8" w14:textId="77777777">
        <w:tc>
          <w:tcPr>
            <w:tcW w:w="4320" w:type="dxa"/>
            <w:shd w:val="clear" w:color="auto" w:fill="C00000"/>
          </w:tcPr>
          <w:p w14:paraId="5DDCC112" w14:textId="77777777" w:rsidR="00C757DD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4320" w:type="dxa"/>
            <w:shd w:val="clear" w:color="auto" w:fill="C00000"/>
          </w:tcPr>
          <w:p w14:paraId="78E7AA80" w14:textId="77777777" w:rsidR="00C757DD" w:rsidRDefault="00000000">
            <w:r>
              <w:rPr>
                <w:b/>
                <w:color w:val="FFFFFF"/>
              </w:rPr>
              <w:t>Concern</w:t>
            </w:r>
          </w:p>
        </w:tc>
      </w:tr>
      <w:tr w:rsidR="00C757DD" w14:paraId="50EEA650" w14:textId="77777777">
        <w:tc>
          <w:tcPr>
            <w:tcW w:w="4320" w:type="dxa"/>
          </w:tcPr>
          <w:p w14:paraId="06445B79" w14:textId="77777777" w:rsidR="00C757DD" w:rsidRDefault="00000000">
            <w:r>
              <w:t>PTFE piston-ring wear rate</w:t>
            </w:r>
          </w:p>
        </w:tc>
        <w:tc>
          <w:tcPr>
            <w:tcW w:w="4320" w:type="dxa"/>
          </w:tcPr>
          <w:p w14:paraId="0775E569" w14:textId="77777777" w:rsidR="00C757DD" w:rsidRDefault="00000000">
            <w:r>
              <w:t>Under continuous vibration</w:t>
            </w:r>
          </w:p>
        </w:tc>
      </w:tr>
      <w:tr w:rsidR="00C757DD" w14:paraId="2A076631" w14:textId="77777777">
        <w:tc>
          <w:tcPr>
            <w:tcW w:w="4320" w:type="dxa"/>
          </w:tcPr>
          <w:p w14:paraId="6E6F3B9A" w14:textId="77777777" w:rsidR="00C757DD" w:rsidRDefault="00000000">
            <w:r>
              <w:t>Wear debris migration</w:t>
            </w:r>
          </w:p>
        </w:tc>
        <w:tc>
          <w:tcPr>
            <w:tcW w:w="4320" w:type="dxa"/>
          </w:tcPr>
          <w:p w14:paraId="3C4E7C68" w14:textId="77777777" w:rsidR="00C757DD" w:rsidRDefault="00000000">
            <w:r>
              <w:t>Into MinION sample path</w:t>
            </w:r>
          </w:p>
        </w:tc>
      </w:tr>
      <w:tr w:rsidR="00C757DD" w14:paraId="29B243CB" w14:textId="77777777">
        <w:tc>
          <w:tcPr>
            <w:tcW w:w="4320" w:type="dxa"/>
          </w:tcPr>
          <w:p w14:paraId="78E8396B" w14:textId="77777777" w:rsidR="00C757DD" w:rsidRDefault="00000000">
            <w:r>
              <w:t>Compression set &amp; seal lift-off</w:t>
            </w:r>
          </w:p>
        </w:tc>
        <w:tc>
          <w:tcPr>
            <w:tcW w:w="4320" w:type="dxa"/>
          </w:tcPr>
          <w:p w14:paraId="7FEFB2FB" w14:textId="77777777" w:rsidR="00C757DD" w:rsidRDefault="00000000">
            <w:r>
              <w:t>Over operational life</w:t>
            </w:r>
          </w:p>
        </w:tc>
      </w:tr>
      <w:tr w:rsidR="00C757DD" w14:paraId="38FE58B1" w14:textId="77777777">
        <w:tc>
          <w:tcPr>
            <w:tcW w:w="4320" w:type="dxa"/>
          </w:tcPr>
          <w:p w14:paraId="36DF78EC" w14:textId="77777777" w:rsidR="00C757DD" w:rsidRDefault="00000000">
            <w:r>
              <w:t>Long-term chemical compatibility</w:t>
            </w:r>
          </w:p>
        </w:tc>
        <w:tc>
          <w:tcPr>
            <w:tcW w:w="4320" w:type="dxa"/>
          </w:tcPr>
          <w:p w14:paraId="362EB5B9" w14:textId="77777777" w:rsidR="00C757DD" w:rsidRDefault="00000000">
            <w:r>
              <w:t>With sample materials and cleaning agents</w:t>
            </w:r>
          </w:p>
        </w:tc>
      </w:tr>
    </w:tbl>
    <w:p w14:paraId="109D5A04" w14:textId="77777777" w:rsidR="00C757DD" w:rsidRDefault="00C757DD"/>
    <w:p w14:paraId="7F930B83" w14:textId="77777777" w:rsidR="00C757DD" w:rsidRDefault="00000000">
      <w:r>
        <w:rPr>
          <w:i/>
        </w:rPr>
        <w:t>Note: Parameter window and test boundary to be established.</w:t>
      </w:r>
    </w:p>
    <w:sectPr w:rsidR="00C75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70038">
    <w:abstractNumId w:val="8"/>
  </w:num>
  <w:num w:numId="2" w16cid:durableId="1057167017">
    <w:abstractNumId w:val="6"/>
  </w:num>
  <w:num w:numId="3" w16cid:durableId="398016546">
    <w:abstractNumId w:val="5"/>
  </w:num>
  <w:num w:numId="4" w16cid:durableId="323823597">
    <w:abstractNumId w:val="4"/>
  </w:num>
  <w:num w:numId="5" w16cid:durableId="1858618619">
    <w:abstractNumId w:val="7"/>
  </w:num>
  <w:num w:numId="6" w16cid:durableId="276984826">
    <w:abstractNumId w:val="3"/>
  </w:num>
  <w:num w:numId="7" w16cid:durableId="244262983">
    <w:abstractNumId w:val="2"/>
  </w:num>
  <w:num w:numId="8" w16cid:durableId="1857039378">
    <w:abstractNumId w:val="1"/>
  </w:num>
  <w:num w:numId="9" w16cid:durableId="25024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35E85"/>
    <w:rsid w:val="0015074B"/>
    <w:rsid w:val="0029639D"/>
    <w:rsid w:val="002E0CC4"/>
    <w:rsid w:val="00326F90"/>
    <w:rsid w:val="00AA1D8D"/>
    <w:rsid w:val="00B47730"/>
    <w:rsid w:val="00C757DD"/>
    <w:rsid w:val="00CB0664"/>
    <w:rsid w:val="00D265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25AC6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1558</Characters>
  <Application>Microsoft Office Word</Application>
  <DocSecurity>0</DocSecurity>
  <Lines>53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2026-07-20T04:16:00Z</dcterms:created>
  <dcterms:modified xsi:type="dcterms:W3CDTF">2026-07-20T04:16:00Z</dcterms:modified>
  <cp:category/>
</cp:coreProperties>
</file>