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8BA3" w14:textId="77777777" w:rsidR="002D60C5" w:rsidRDefault="00000000">
      <w:pPr>
        <w:pStyle w:val="Title"/>
        <w:jc w:val="center"/>
      </w:pPr>
      <w:r>
        <w:t>Electromagnetic Clutch Torque-Path Decoupling for Sub-50ms Biological-Mineral Drill Mode Switching</w:t>
      </w:r>
    </w:p>
    <w:p w14:paraId="2189EB25" w14:textId="77777777" w:rsidR="002D60C5" w:rsidRDefault="00000000">
      <w:r>
        <w:rPr>
          <w:b/>
        </w:rPr>
        <w:t xml:space="preserve">Date: </w:t>
      </w:r>
      <w:r>
        <w:t>2026-07-20</w:t>
      </w:r>
      <w:r>
        <w:br/>
      </w:r>
      <w:r>
        <w:rPr>
          <w:b/>
        </w:rPr>
        <w:t xml:space="preserve">Reference: </w:t>
      </w:r>
      <w:r>
        <w:t>Novel intelligent electric actuating mechanism</w:t>
      </w:r>
      <w:r>
        <w:br/>
      </w:r>
      <w:r>
        <w:rPr>
          <w:b/>
        </w:rPr>
        <w:t xml:space="preserve">TRIZ: </w:t>
      </w:r>
      <w:r>
        <w:t>Dynamic parts (Principle #15)</w:t>
      </w:r>
      <w:r>
        <w:br/>
      </w:r>
      <w:r>
        <w:rPr>
          <w:b/>
        </w:rPr>
        <w:t xml:space="preserve">Analysis Method: </w:t>
      </w:r>
      <w:r>
        <w:t>Technical contradictions</w:t>
      </w:r>
    </w:p>
    <w:p w14:paraId="430EB8E4" w14:textId="77777777" w:rsidR="002D60C5" w:rsidRDefault="00000000">
      <w:r>
        <w:rPr>
          <w:b/>
        </w:rPr>
        <w:t xml:space="preserve">Cross-domain application: </w:t>
      </w:r>
      <w:r>
        <w:t>Insert a compact electromagnetic clutch between the BLDC motor shaft and the planetary gearbox input, controlled by the Jetson via a dedicated PWM driver.</w:t>
      </w:r>
    </w:p>
    <w:p w14:paraId="3F890B34" w14:textId="78415C1F" w:rsidR="00FF72E2" w:rsidRDefault="00FF72E2">
      <w:r>
        <w:rPr>
          <w:noProof/>
        </w:rPr>
        <w:drawing>
          <wp:inline distT="0" distB="0" distL="0" distR="0" wp14:anchorId="69ED7B94" wp14:editId="0708343F">
            <wp:extent cx="5312775" cy="4762500"/>
            <wp:effectExtent l="0" t="0" r="2540" b="0"/>
            <wp:docPr id="55802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864" cy="4766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E37D" w14:textId="77777777" w:rsidR="002D60C5" w:rsidRDefault="00000000">
      <w:pPr>
        <w:pStyle w:val="Heading1"/>
      </w:pPr>
      <w:r>
        <w:lastRenderedPageBreak/>
        <w:t>Original Bottleneck</w:t>
      </w:r>
    </w:p>
    <w:p w14:paraId="433EF206" w14:textId="77777777" w:rsidR="002D60C5" w:rsidRDefault="00000000">
      <w:r>
        <w:rPr>
          <w:b/>
        </w:rPr>
        <w:t xml:space="preserve">Single BLDC drill cannot optimize for both tissue and mineral: </w:t>
      </w:r>
      <w:r>
        <w:t>Biological mode needs low inertia &amp; fast response; mineral mode needs high torque percussion. Shock transmitted to seal/MiniON zone.</w:t>
      </w:r>
    </w:p>
    <w:p w14:paraId="60D7B22F" w14:textId="77777777" w:rsidR="002D60C5" w:rsidRDefault="00000000">
      <w:pPr>
        <w:pStyle w:val="Heading1"/>
      </w:pPr>
      <w:r>
        <w:t>Core Modification</w:t>
      </w:r>
    </w:p>
    <w:p w14:paraId="4DDBA564" w14:textId="77777777" w:rsidR="002D60C5" w:rsidRDefault="00000000">
      <w:r>
        <w:rPr>
          <w:b/>
        </w:rPr>
        <w:t xml:space="preserve">Electromagnetic clutch: </w:t>
      </w:r>
      <w:r>
        <w:t>In biological mode, clutch disengages — motor delivers 0.1–0.5 Nm directly with &lt;30 ms response. In mineral mode, clutch engages — transmits full 15 Nm percussion torque.</w:t>
      </w:r>
    </w:p>
    <w:p w14:paraId="7E64D1E1" w14:textId="77777777" w:rsidR="002D60C5" w:rsidRDefault="00000000">
      <w:pPr>
        <w:pStyle w:val="Heading1"/>
      </w:pPr>
      <w:r>
        <w:t>System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2D60C5" w14:paraId="01BECD56" w14:textId="77777777">
        <w:tc>
          <w:tcPr>
            <w:tcW w:w="2880" w:type="dxa"/>
            <w:shd w:val="clear" w:color="auto" w:fill="2F5496"/>
          </w:tcPr>
          <w:p w14:paraId="7CD49BCC" w14:textId="77777777" w:rsidR="002D60C5" w:rsidRDefault="00000000">
            <w:r>
              <w:rPr>
                <w:b/>
                <w:color w:val="FFFFFF"/>
              </w:rPr>
              <w:t>Mode</w:t>
            </w:r>
          </w:p>
        </w:tc>
        <w:tc>
          <w:tcPr>
            <w:tcW w:w="2880" w:type="dxa"/>
            <w:shd w:val="clear" w:color="auto" w:fill="2F5496"/>
          </w:tcPr>
          <w:p w14:paraId="0369D314" w14:textId="77777777" w:rsidR="002D60C5" w:rsidRDefault="00000000">
            <w:r>
              <w:rPr>
                <w:b/>
                <w:color w:val="FFFFFF"/>
              </w:rPr>
              <w:t>Clutch State</w:t>
            </w:r>
          </w:p>
        </w:tc>
        <w:tc>
          <w:tcPr>
            <w:tcW w:w="2880" w:type="dxa"/>
            <w:shd w:val="clear" w:color="auto" w:fill="2F5496"/>
          </w:tcPr>
          <w:p w14:paraId="0DD36462" w14:textId="77777777" w:rsidR="002D60C5" w:rsidRDefault="00000000">
            <w:r>
              <w:rPr>
                <w:b/>
                <w:color w:val="FFFFFF"/>
              </w:rPr>
              <w:t>Performance</w:t>
            </w:r>
          </w:p>
        </w:tc>
      </w:tr>
      <w:tr w:rsidR="002D60C5" w14:paraId="493D26EA" w14:textId="77777777">
        <w:tc>
          <w:tcPr>
            <w:tcW w:w="2880" w:type="dxa"/>
          </w:tcPr>
          <w:p w14:paraId="0FD80588" w14:textId="77777777" w:rsidR="002D60C5" w:rsidRDefault="00000000">
            <w:r>
              <w:t>Biological tissue</w:t>
            </w:r>
          </w:p>
        </w:tc>
        <w:tc>
          <w:tcPr>
            <w:tcW w:w="2880" w:type="dxa"/>
          </w:tcPr>
          <w:p w14:paraId="6D58E91B" w14:textId="77777777" w:rsidR="002D60C5" w:rsidRDefault="00000000">
            <w:r>
              <w:t>Disengaged</w:t>
            </w:r>
          </w:p>
        </w:tc>
        <w:tc>
          <w:tcPr>
            <w:tcW w:w="2880" w:type="dxa"/>
          </w:tcPr>
          <w:p w14:paraId="06F39238" w14:textId="77777777" w:rsidR="002D60C5" w:rsidRDefault="00000000">
            <w:r>
              <w:t>0.1–0.5 Nm, &lt;30 ms response, no gearbox inertia</w:t>
            </w:r>
          </w:p>
        </w:tc>
      </w:tr>
      <w:tr w:rsidR="002D60C5" w14:paraId="19D19E3D" w14:textId="77777777">
        <w:tc>
          <w:tcPr>
            <w:tcW w:w="2880" w:type="dxa"/>
          </w:tcPr>
          <w:p w14:paraId="4A0ABE2B" w14:textId="77777777" w:rsidR="002D60C5" w:rsidRDefault="00000000">
            <w:r>
              <w:t>Mineral</w:t>
            </w:r>
          </w:p>
        </w:tc>
        <w:tc>
          <w:tcPr>
            <w:tcW w:w="2880" w:type="dxa"/>
          </w:tcPr>
          <w:p w14:paraId="192E4553" w14:textId="77777777" w:rsidR="002D60C5" w:rsidRDefault="00000000">
            <w:r>
              <w:t>Engaged</w:t>
            </w:r>
          </w:p>
        </w:tc>
        <w:tc>
          <w:tcPr>
            <w:tcW w:w="2880" w:type="dxa"/>
          </w:tcPr>
          <w:p w14:paraId="1F26427E" w14:textId="77777777" w:rsidR="002D60C5" w:rsidRDefault="00000000">
            <w:r>
              <w:t>15 Nm percussion torque through gearbox</w:t>
            </w:r>
          </w:p>
        </w:tc>
      </w:tr>
      <w:tr w:rsidR="002D60C5" w14:paraId="3AB543BF" w14:textId="77777777">
        <w:tc>
          <w:tcPr>
            <w:tcW w:w="2880" w:type="dxa"/>
          </w:tcPr>
          <w:p w14:paraId="19B0420F" w14:textId="77777777" w:rsidR="002D60C5" w:rsidRDefault="00000000">
            <w:r>
              <w:t>Disengaged state</w:t>
            </w:r>
          </w:p>
        </w:tc>
        <w:tc>
          <w:tcPr>
            <w:tcW w:w="2880" w:type="dxa"/>
          </w:tcPr>
          <w:p w14:paraId="19E30042" w14:textId="77777777" w:rsidR="002D60C5" w:rsidRDefault="00000000">
            <w:r>
              <w:t>Isolation</w:t>
            </w:r>
          </w:p>
        </w:tc>
        <w:tc>
          <w:tcPr>
            <w:tcW w:w="2880" w:type="dxa"/>
          </w:tcPr>
          <w:p w14:paraId="348DB068" w14:textId="77777777" w:rsidR="002D60C5" w:rsidRDefault="00000000">
            <w:r>
              <w:t>Prevents 2–5g percussion shocks from reaching carousel seal/MiniON</w:t>
            </w:r>
          </w:p>
        </w:tc>
      </w:tr>
    </w:tbl>
    <w:p w14:paraId="56F4D88B" w14:textId="77777777" w:rsidR="002D60C5" w:rsidRDefault="00000000">
      <w:pPr>
        <w:pStyle w:val="Heading1"/>
      </w:pPr>
      <w:r>
        <w:t>System Impact</w:t>
      </w:r>
    </w:p>
    <w:p w14:paraId="0A242464" w14:textId="77777777" w:rsidR="002D60C5" w:rsidRDefault="00000000">
      <w:pPr>
        <w:pStyle w:val="ListBullet"/>
      </w:pPr>
      <w:r>
        <w:t>Added mass: ~150 g</w:t>
      </w:r>
    </w:p>
    <w:p w14:paraId="2794C647" w14:textId="77777777" w:rsidR="002D60C5" w:rsidRDefault="00000000">
      <w:pPr>
        <w:pStyle w:val="ListBullet"/>
      </w:pPr>
      <w:r>
        <w:t>Power consumption: ~15 W holding power</w:t>
      </w:r>
    </w:p>
    <w:p w14:paraId="1187633E" w14:textId="77777777" w:rsidR="002D60C5" w:rsidRDefault="00000000">
      <w:pPr>
        <w:pStyle w:val="ListBullet"/>
      </w:pPr>
      <w:r>
        <w:t>Fits within 8 kg module mass and 200 W power budget</w:t>
      </w:r>
    </w:p>
    <w:p w14:paraId="11F70603" w14:textId="77777777" w:rsidR="002D60C5" w:rsidRDefault="00000000">
      <w:pPr>
        <w:pStyle w:val="ListBullet"/>
      </w:pPr>
      <w:r>
        <w:t>Electromagnetic engagement faster than mechanical gear shifting</w:t>
      </w:r>
    </w:p>
    <w:p w14:paraId="4CAE5550" w14:textId="77777777" w:rsidR="002D60C5" w:rsidRDefault="00000000">
      <w:pPr>
        <w:pStyle w:val="ListBullet"/>
      </w:pPr>
      <w:r>
        <w:t>Decoupled state provides natural shock isolation barrier</w:t>
      </w:r>
    </w:p>
    <w:p w14:paraId="570BCF0E" w14:textId="77777777" w:rsidR="002D60C5" w:rsidRDefault="00000000">
      <w:pPr>
        <w:pStyle w:val="Heading1"/>
      </w:pPr>
      <w:r>
        <w:t>Validation Area (To Be Validated)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D60C5" w14:paraId="139619EB" w14:textId="77777777">
        <w:tc>
          <w:tcPr>
            <w:tcW w:w="4320" w:type="dxa"/>
            <w:shd w:val="clear" w:color="auto" w:fill="C00000"/>
          </w:tcPr>
          <w:p w14:paraId="7B1322A0" w14:textId="77777777" w:rsidR="002D60C5" w:rsidRDefault="00000000">
            <w:r>
              <w:rPr>
                <w:b/>
                <w:color w:val="FFFFFF"/>
              </w:rPr>
              <w:t>Validation Item</w:t>
            </w:r>
          </w:p>
        </w:tc>
        <w:tc>
          <w:tcPr>
            <w:tcW w:w="4320" w:type="dxa"/>
            <w:shd w:val="clear" w:color="auto" w:fill="C00000"/>
          </w:tcPr>
          <w:p w14:paraId="28244C76" w14:textId="77777777" w:rsidR="002D60C5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2D60C5" w14:paraId="670B3DF0" w14:textId="77777777">
        <w:tc>
          <w:tcPr>
            <w:tcW w:w="4320" w:type="dxa"/>
          </w:tcPr>
          <w:p w14:paraId="006D180E" w14:textId="77777777" w:rsidR="002D60C5" w:rsidRDefault="00000000">
            <w:r>
              <w:t>Continuous-duty thermal rise</w:t>
            </w:r>
          </w:p>
        </w:tc>
        <w:tc>
          <w:tcPr>
            <w:tcW w:w="4320" w:type="dxa"/>
          </w:tcPr>
          <w:p w14:paraId="74406FBB" w14:textId="77777777" w:rsidR="002D60C5" w:rsidRDefault="00000000">
            <w:r>
              <w:t>At 40°C ambient</w:t>
            </w:r>
          </w:p>
        </w:tc>
      </w:tr>
      <w:tr w:rsidR="002D60C5" w14:paraId="7C084AD7" w14:textId="77777777">
        <w:tc>
          <w:tcPr>
            <w:tcW w:w="4320" w:type="dxa"/>
          </w:tcPr>
          <w:p w14:paraId="3553FFDF" w14:textId="77777777" w:rsidR="002D60C5" w:rsidRDefault="00000000">
            <w:r>
              <w:t>Vibration-rated electrical connector</w:t>
            </w:r>
          </w:p>
        </w:tc>
        <w:tc>
          <w:tcPr>
            <w:tcW w:w="4320" w:type="dxa"/>
          </w:tcPr>
          <w:p w14:paraId="728BE620" w14:textId="77777777" w:rsidR="002D60C5" w:rsidRDefault="00000000">
            <w:r>
              <w:t>Qualification for 50–400 Hz gas-hybrid environment</w:t>
            </w:r>
          </w:p>
        </w:tc>
      </w:tr>
    </w:tbl>
    <w:p w14:paraId="652C05A0" w14:textId="77777777" w:rsidR="002D60C5" w:rsidRDefault="002D60C5"/>
    <w:p w14:paraId="64E0BE23" w14:textId="77777777" w:rsidR="002D60C5" w:rsidRDefault="00000000">
      <w:r>
        <w:rPr>
          <w:i/>
        </w:rPr>
        <w:t>Note: Both are standard industrial engineering tasks with mature supply chains.</w:t>
      </w:r>
    </w:p>
    <w:sectPr w:rsidR="002D60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192058">
    <w:abstractNumId w:val="8"/>
  </w:num>
  <w:num w:numId="2" w16cid:durableId="1859199517">
    <w:abstractNumId w:val="6"/>
  </w:num>
  <w:num w:numId="3" w16cid:durableId="333075316">
    <w:abstractNumId w:val="5"/>
  </w:num>
  <w:num w:numId="4" w16cid:durableId="1162355077">
    <w:abstractNumId w:val="4"/>
  </w:num>
  <w:num w:numId="5" w16cid:durableId="44107854">
    <w:abstractNumId w:val="7"/>
  </w:num>
  <w:num w:numId="6" w16cid:durableId="2054114605">
    <w:abstractNumId w:val="3"/>
  </w:num>
  <w:num w:numId="7" w16cid:durableId="1731266977">
    <w:abstractNumId w:val="2"/>
  </w:num>
  <w:num w:numId="8" w16cid:durableId="2011055773">
    <w:abstractNumId w:val="1"/>
  </w:num>
  <w:num w:numId="9" w16cid:durableId="2030449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5074B"/>
    <w:rsid w:val="0029639D"/>
    <w:rsid w:val="002D60C5"/>
    <w:rsid w:val="00326F90"/>
    <w:rsid w:val="00AA1D8D"/>
    <w:rsid w:val="00B47730"/>
    <w:rsid w:val="00CB0664"/>
    <w:rsid w:val="00FC693F"/>
    <w:rsid w:val="00FF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50955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1447</Characters>
  <Application>Microsoft Office Word</Application>
  <DocSecurity>0</DocSecurity>
  <Lines>53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2026-07-20T13:24:00Z</dcterms:created>
  <dcterms:modified xsi:type="dcterms:W3CDTF">2026-07-20T13:24:00Z</dcterms:modified>
  <cp:category/>
</cp:coreProperties>
</file>