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7F2C" w14:textId="77777777" w:rsidR="00C81929" w:rsidRDefault="00000000">
      <w:pPr>
        <w:pStyle w:val="Title"/>
        <w:jc w:val="center"/>
      </w:pPr>
      <w:r>
        <w:t>Dual-Motor Segmented Torque Architecture with Sample-Type Adaptive Distribution for 0.1–15 Nm Range</w:t>
      </w:r>
    </w:p>
    <w:p w14:paraId="1FB79414" w14:textId="77777777" w:rsidR="00383D14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A torque distribution method for a novel dual-motor structure in an energy electric vehicle</w:t>
      </w:r>
    </w:p>
    <w:p w14:paraId="21E0AF7B" w14:textId="77777777" w:rsidR="00383D14" w:rsidRDefault="00383D14"/>
    <w:p w14:paraId="5768B93D" w14:textId="7486AD2B" w:rsidR="00C81929" w:rsidRDefault="00383D14">
      <w:r>
        <w:rPr>
          <w:noProof/>
        </w:rPr>
        <w:drawing>
          <wp:inline distT="0" distB="0" distL="0" distR="0" wp14:anchorId="4FEF24F7" wp14:editId="5BE8F41E">
            <wp:extent cx="5486400" cy="3087370"/>
            <wp:effectExtent l="0" t="0" r="0" b="0"/>
            <wp:docPr id="96380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rPr>
          <w:b/>
        </w:rPr>
        <w:t xml:space="preserve">TRIZ: </w:t>
      </w:r>
      <w:r w:rsidR="00000000">
        <w:t>Segmentation (Principle #1)</w:t>
      </w:r>
      <w:r w:rsidR="00000000">
        <w:br/>
      </w:r>
      <w:r w:rsidR="00000000">
        <w:rPr>
          <w:b/>
        </w:rPr>
        <w:t xml:space="preserve">Analysis Method: </w:t>
      </w:r>
      <w:r w:rsidR="00000000">
        <w:t>Technical contradictions</w:t>
      </w:r>
    </w:p>
    <w:p w14:paraId="6797358B" w14:textId="77777777" w:rsidR="00C81929" w:rsidRDefault="00000000">
      <w:r>
        <w:rPr>
          <w:b/>
        </w:rPr>
        <w:t xml:space="preserve">Cross-domain application: </w:t>
      </w:r>
      <w:r>
        <w:t xml:space="preserve">Replace the single BLDC drill with two independent </w:t>
      </w:r>
      <w:proofErr w:type="gramStart"/>
      <w:r>
        <w:t>motors</w:t>
      </w:r>
      <w:proofErr w:type="gramEnd"/>
      <w:r>
        <w:t xml:space="preserve"> driving a common drill chuck via torque-summing differential or sequential one-way clutches.</w:t>
      </w:r>
    </w:p>
    <w:p w14:paraId="359D2FD1" w14:textId="77777777" w:rsidR="00383D14" w:rsidRDefault="00383D14"/>
    <w:p w14:paraId="2EEE1447" w14:textId="77777777" w:rsidR="00C81929" w:rsidRDefault="00000000">
      <w:pPr>
        <w:pStyle w:val="Heading1"/>
      </w:pPr>
      <w:r>
        <w:lastRenderedPageBreak/>
        <w:t>Original Bottleneck</w:t>
      </w:r>
    </w:p>
    <w:p w14:paraId="7E8CA827" w14:textId="77777777" w:rsidR="00C81929" w:rsidRDefault="00000000">
      <w:r>
        <w:rPr>
          <w:b/>
        </w:rPr>
        <w:t xml:space="preserve">Single BLDC drill cannot optimize for both tissue and mineral: </w:t>
      </w:r>
      <w:r>
        <w:t>Low-inertia fast response vs. high-torque percussion are mutually exclusive in a single motor.</w:t>
      </w:r>
    </w:p>
    <w:p w14:paraId="751BE17E" w14:textId="77777777" w:rsidR="00C81929" w:rsidRDefault="00000000">
      <w:pPr>
        <w:pStyle w:val="Heading1"/>
      </w:pPr>
      <w:r>
        <w:t>Core Modification</w:t>
      </w:r>
    </w:p>
    <w:p w14:paraId="49A68C65" w14:textId="77777777" w:rsidR="00C81929" w:rsidRDefault="00000000">
      <w:r>
        <w:rPr>
          <w:b/>
        </w:rPr>
        <w:t xml:space="preserve">Dual-motor segmented torque architecture: </w:t>
      </w:r>
    </w:p>
    <w:p w14:paraId="1564CEA5" w14:textId="77777777" w:rsidR="00C81929" w:rsidRDefault="00000000">
      <w:pPr>
        <w:pStyle w:val="Heading1"/>
      </w:pPr>
      <w:r>
        <w:t>Motor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C81929" w14:paraId="1A71CB43" w14:textId="77777777">
        <w:tc>
          <w:tcPr>
            <w:tcW w:w="2160" w:type="dxa"/>
            <w:shd w:val="clear" w:color="auto" w:fill="2F5496"/>
          </w:tcPr>
          <w:p w14:paraId="57583C26" w14:textId="77777777" w:rsidR="00C81929" w:rsidRDefault="00000000">
            <w:r>
              <w:rPr>
                <w:b/>
                <w:color w:val="FFFFFF"/>
              </w:rPr>
              <w:t>Motor</w:t>
            </w:r>
          </w:p>
        </w:tc>
        <w:tc>
          <w:tcPr>
            <w:tcW w:w="2160" w:type="dxa"/>
            <w:shd w:val="clear" w:color="auto" w:fill="2F5496"/>
          </w:tcPr>
          <w:p w14:paraId="6F085E16" w14:textId="77777777" w:rsidR="00C8192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2160" w:type="dxa"/>
            <w:shd w:val="clear" w:color="auto" w:fill="2F5496"/>
          </w:tcPr>
          <w:p w14:paraId="2F0E5B7E" w14:textId="77777777" w:rsidR="00C81929" w:rsidRDefault="00000000">
            <w:r>
              <w:rPr>
                <w:b/>
                <w:color w:val="FFFFFF"/>
              </w:rPr>
              <w:t>Torque / Response</w:t>
            </w:r>
          </w:p>
        </w:tc>
        <w:tc>
          <w:tcPr>
            <w:tcW w:w="2160" w:type="dxa"/>
            <w:shd w:val="clear" w:color="auto" w:fill="2F5496"/>
          </w:tcPr>
          <w:p w14:paraId="54D8C105" w14:textId="77777777" w:rsidR="00C81929" w:rsidRDefault="00000000">
            <w:r>
              <w:rPr>
                <w:b/>
                <w:color w:val="FFFFFF"/>
              </w:rPr>
              <w:t>Function</w:t>
            </w:r>
          </w:p>
        </w:tc>
      </w:tr>
      <w:tr w:rsidR="00C81929" w14:paraId="6ECF4DCE" w14:textId="77777777">
        <w:tc>
          <w:tcPr>
            <w:tcW w:w="2160" w:type="dxa"/>
          </w:tcPr>
          <w:p w14:paraId="1A8F9924" w14:textId="77777777" w:rsidR="00C81929" w:rsidRDefault="00000000">
            <w:r>
              <w:t>Biological Motor</w:t>
            </w:r>
          </w:p>
        </w:tc>
        <w:tc>
          <w:tcPr>
            <w:tcW w:w="2160" w:type="dxa"/>
          </w:tcPr>
          <w:p w14:paraId="11F2BEB7" w14:textId="77777777" w:rsidR="00C81929" w:rsidRDefault="00000000">
            <w:r>
              <w:t>Coreless + 10:1 planetary</w:t>
            </w:r>
          </w:p>
        </w:tc>
        <w:tc>
          <w:tcPr>
            <w:tcW w:w="2160" w:type="dxa"/>
          </w:tcPr>
          <w:p w14:paraId="288B34A5" w14:textId="77777777" w:rsidR="00C81929" w:rsidRDefault="00000000">
            <w:r>
              <w:t>0.1–0.5 Nm, &lt;10 ms response</w:t>
            </w:r>
          </w:p>
        </w:tc>
        <w:tc>
          <w:tcPr>
            <w:tcW w:w="2160" w:type="dxa"/>
          </w:tcPr>
          <w:p w14:paraId="7F6F6053" w14:textId="77777777" w:rsidR="00C81929" w:rsidRDefault="00000000">
            <w:r>
              <w:t>Low-inertia tissue sampling</w:t>
            </w:r>
          </w:p>
        </w:tc>
      </w:tr>
      <w:tr w:rsidR="00C81929" w14:paraId="577E7214" w14:textId="77777777">
        <w:tc>
          <w:tcPr>
            <w:tcW w:w="2160" w:type="dxa"/>
          </w:tcPr>
          <w:p w14:paraId="21E8C934" w14:textId="77777777" w:rsidR="00C81929" w:rsidRDefault="00000000">
            <w:r>
              <w:t>Mineral Motor</w:t>
            </w:r>
          </w:p>
        </w:tc>
        <w:tc>
          <w:tcPr>
            <w:tcW w:w="2160" w:type="dxa"/>
          </w:tcPr>
          <w:p w14:paraId="7A7BA2FC" w14:textId="77777777" w:rsidR="00C81929" w:rsidRDefault="00000000">
            <w:r>
              <w:t>BLDC + 50:1 planetary</w:t>
            </w:r>
          </w:p>
        </w:tc>
        <w:tc>
          <w:tcPr>
            <w:tcW w:w="2160" w:type="dxa"/>
          </w:tcPr>
          <w:p w14:paraId="7428883E" w14:textId="77777777" w:rsidR="00C81929" w:rsidRDefault="00000000">
            <w:r>
              <w:t>5–15 Nm</w:t>
            </w:r>
          </w:p>
        </w:tc>
        <w:tc>
          <w:tcPr>
            <w:tcW w:w="2160" w:type="dxa"/>
          </w:tcPr>
          <w:p w14:paraId="51FFA58A" w14:textId="77777777" w:rsidR="00C81929" w:rsidRDefault="00000000">
            <w:r>
              <w:t>High-torque percussion drilling</w:t>
            </w:r>
          </w:p>
        </w:tc>
      </w:tr>
      <w:tr w:rsidR="00C81929" w14:paraId="2BC6C422" w14:textId="77777777">
        <w:tc>
          <w:tcPr>
            <w:tcW w:w="2160" w:type="dxa"/>
          </w:tcPr>
          <w:p w14:paraId="28EB4607" w14:textId="77777777" w:rsidR="00C81929" w:rsidRDefault="00000000">
            <w:r>
              <w:t>Elastomeric coupling</w:t>
            </w:r>
          </w:p>
        </w:tc>
        <w:tc>
          <w:tcPr>
            <w:tcW w:w="2160" w:type="dxa"/>
          </w:tcPr>
          <w:p w14:paraId="64EA4F6F" w14:textId="77777777" w:rsidR="00C81929" w:rsidRDefault="00000000">
            <w:r>
              <w:t>Shock isolation</w:t>
            </w:r>
          </w:p>
        </w:tc>
        <w:tc>
          <w:tcPr>
            <w:tcW w:w="2160" w:type="dxa"/>
          </w:tcPr>
          <w:p w14:paraId="0BF64DD0" w14:textId="77777777" w:rsidR="00C81929" w:rsidRDefault="00000000">
            <w:r>
              <w:t>Isolates 2–5g shocks</w:t>
            </w:r>
          </w:p>
        </w:tc>
        <w:tc>
          <w:tcPr>
            <w:tcW w:w="2160" w:type="dxa"/>
          </w:tcPr>
          <w:p w14:paraId="0313DB0A" w14:textId="77777777" w:rsidR="00C81929" w:rsidRDefault="00000000">
            <w:r>
              <w:t>Prevents shock transmission to seal/MiniON</w:t>
            </w:r>
          </w:p>
        </w:tc>
      </w:tr>
    </w:tbl>
    <w:p w14:paraId="035F1A5C" w14:textId="77777777" w:rsidR="00C81929" w:rsidRDefault="00000000">
      <w:pPr>
        <w:pStyle w:val="Heading1"/>
      </w:pPr>
      <w:r>
        <w:t>Control &amp; Decision Path</w:t>
      </w:r>
    </w:p>
    <w:p w14:paraId="7282E2E8" w14:textId="77777777" w:rsidR="00C81929" w:rsidRDefault="00000000">
      <w:pPr>
        <w:pStyle w:val="ListNumber"/>
      </w:pPr>
      <w:r>
        <w:t>Real-time sensor fusion: Axial force + Motor current + Acoustic signature</w:t>
      </w:r>
    </w:p>
    <w:p w14:paraId="2247D3EC" w14:textId="77777777" w:rsidR="00C81929" w:rsidRDefault="00000000">
      <w:pPr>
        <w:pStyle w:val="ListNumber"/>
      </w:pPr>
      <w:r>
        <w:t>Jetson (ROS2) sample classification</w:t>
      </w:r>
    </w:p>
    <w:p w14:paraId="3899BF1B" w14:textId="77777777" w:rsidR="00C81929" w:rsidRDefault="00000000">
      <w:pPr>
        <w:pStyle w:val="ListNumber"/>
      </w:pPr>
      <w:r>
        <w:t>Torque distribution firmware (1 kHz) — &lt;20 ms mode switching</w:t>
      </w:r>
    </w:p>
    <w:p w14:paraId="7D453563" w14:textId="77777777" w:rsidR="00C81929" w:rsidRDefault="00000000">
      <w:pPr>
        <w:pStyle w:val="ListNumber"/>
      </w:pPr>
      <w:r>
        <w:t>Selects the right motor, idles the other (power save)</w:t>
      </w:r>
    </w:p>
    <w:p w14:paraId="631E1B36" w14:textId="77777777" w:rsidR="00C81929" w:rsidRDefault="00000000">
      <w:pPr>
        <w:pStyle w:val="Heading1"/>
      </w:pPr>
      <w:r>
        <w:t>System Impact</w:t>
      </w:r>
    </w:p>
    <w:p w14:paraId="1506D763" w14:textId="77777777" w:rsidR="00C81929" w:rsidRDefault="00000000">
      <w:pPr>
        <w:pStyle w:val="ListBullet"/>
      </w:pPr>
      <w:r>
        <w:t>Total added mass: ~600 g (two small planetaries and couplings)</w:t>
      </w:r>
    </w:p>
    <w:p w14:paraId="4281B29A" w14:textId="77777777" w:rsidR="00C81929" w:rsidRDefault="00000000">
      <w:pPr>
        <w:pStyle w:val="ListBullet"/>
      </w:pPr>
      <w:r>
        <w:t>Power stays within 200 W by duty-cycle interleaving (only one motor active per sample)</w:t>
      </w:r>
    </w:p>
    <w:p w14:paraId="04AD9C49" w14:textId="77777777" w:rsidR="00C81929" w:rsidRDefault="00000000">
      <w:pPr>
        <w:pStyle w:val="ListBullet"/>
      </w:pPr>
      <w:r>
        <w:t>Target object: Sample (biological tissue or mineral core)</w:t>
      </w:r>
    </w:p>
    <w:p w14:paraId="135143EF" w14:textId="77777777" w:rsidR="00C81929" w:rsidRDefault="00000000">
      <w:pPr>
        <w:pStyle w:val="ListBullet"/>
      </w:pPr>
      <w:r>
        <w:t>Performance goal: &lt;20 ms mode switching</w:t>
      </w:r>
    </w:p>
    <w:p w14:paraId="2FA7F022" w14:textId="77777777" w:rsidR="00C81929" w:rsidRDefault="00000000">
      <w:pPr>
        <w:pStyle w:val="Heading1"/>
      </w:pPr>
      <w:r>
        <w:t>Validation Area (To Be Validated)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81929" w14:paraId="591EC479" w14:textId="77777777">
        <w:tc>
          <w:tcPr>
            <w:tcW w:w="4320" w:type="dxa"/>
            <w:shd w:val="clear" w:color="auto" w:fill="C00000"/>
          </w:tcPr>
          <w:p w14:paraId="58B406B1" w14:textId="77777777" w:rsidR="00C81929" w:rsidRDefault="00000000">
            <w:r>
              <w:rPr>
                <w:b/>
                <w:color w:val="FFFFFF"/>
              </w:rPr>
              <w:t>Validation Item</w:t>
            </w:r>
          </w:p>
        </w:tc>
        <w:tc>
          <w:tcPr>
            <w:tcW w:w="4320" w:type="dxa"/>
            <w:shd w:val="clear" w:color="auto" w:fill="C00000"/>
          </w:tcPr>
          <w:p w14:paraId="0D7192F0" w14:textId="77777777" w:rsidR="00C81929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C81929" w14:paraId="28EFADB5" w14:textId="77777777">
        <w:tc>
          <w:tcPr>
            <w:tcW w:w="4320" w:type="dxa"/>
          </w:tcPr>
          <w:p w14:paraId="0C643425" w14:textId="77777777" w:rsidR="00C81929" w:rsidRDefault="00000000">
            <w:r>
              <w:t>Packaging feasibility</w:t>
            </w:r>
          </w:p>
        </w:tc>
        <w:tc>
          <w:tcPr>
            <w:tcW w:w="4320" w:type="dxa"/>
          </w:tcPr>
          <w:p w14:paraId="7B312F47" w14:textId="77777777" w:rsidR="00C81929" w:rsidRDefault="00000000">
            <w:r>
              <w:t>Dual planetary stages within Ø400×350 mm drill mount</w:t>
            </w:r>
          </w:p>
        </w:tc>
      </w:tr>
      <w:tr w:rsidR="00C81929" w14:paraId="074F9755" w14:textId="77777777">
        <w:tc>
          <w:tcPr>
            <w:tcW w:w="4320" w:type="dxa"/>
          </w:tcPr>
          <w:p w14:paraId="0DE7B66C" w14:textId="77777777" w:rsidR="00C81929" w:rsidRDefault="00000000">
            <w:r>
              <w:t>Shock isolation performance</w:t>
            </w:r>
          </w:p>
        </w:tc>
        <w:tc>
          <w:tcPr>
            <w:tcW w:w="4320" w:type="dxa"/>
          </w:tcPr>
          <w:p w14:paraId="0D4E1385" w14:textId="77777777" w:rsidR="00C81929" w:rsidRDefault="00000000">
            <w:r>
              <w:t>Elastomeric coupling under 50–400 Hz vibration, 2–5g</w:t>
            </w:r>
          </w:p>
        </w:tc>
      </w:tr>
      <w:tr w:rsidR="00C81929" w14:paraId="60BF46E6" w14:textId="77777777">
        <w:tc>
          <w:tcPr>
            <w:tcW w:w="4320" w:type="dxa"/>
          </w:tcPr>
          <w:p w14:paraId="136D4C55" w14:textId="77777777" w:rsidR="00C81929" w:rsidRDefault="00000000">
            <w:r>
              <w:t>Firmware &amp; classification</w:t>
            </w:r>
          </w:p>
        </w:tc>
        <w:tc>
          <w:tcPr>
            <w:tcW w:w="4320" w:type="dxa"/>
          </w:tcPr>
          <w:p w14:paraId="6316120C" w14:textId="77777777" w:rsidR="00C81929" w:rsidRDefault="00000000">
            <w:r>
              <w:t>Integration with Isaac ROS2 sample classification</w:t>
            </w:r>
          </w:p>
        </w:tc>
      </w:tr>
    </w:tbl>
    <w:p w14:paraId="250FDF04" w14:textId="77777777" w:rsidR="00C81929" w:rsidRDefault="00C81929"/>
    <w:p w14:paraId="6CEB60C9" w14:textId="77777777" w:rsidR="00C81929" w:rsidRDefault="00000000">
      <w:r>
        <w:rPr>
          <w:i/>
        </w:rPr>
        <w:t>Note: Requires iterative prototyping &amp; tests. All are standard mechatronic engineering tasks.</w:t>
      </w:r>
    </w:p>
    <w:sectPr w:rsidR="00C819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938873">
    <w:abstractNumId w:val="8"/>
  </w:num>
  <w:num w:numId="2" w16cid:durableId="162092057">
    <w:abstractNumId w:val="6"/>
  </w:num>
  <w:num w:numId="3" w16cid:durableId="1422066380">
    <w:abstractNumId w:val="5"/>
  </w:num>
  <w:num w:numId="4" w16cid:durableId="2027054745">
    <w:abstractNumId w:val="4"/>
  </w:num>
  <w:num w:numId="5" w16cid:durableId="510145166">
    <w:abstractNumId w:val="7"/>
  </w:num>
  <w:num w:numId="6" w16cid:durableId="350836219">
    <w:abstractNumId w:val="3"/>
  </w:num>
  <w:num w:numId="7" w16cid:durableId="165751259">
    <w:abstractNumId w:val="2"/>
  </w:num>
  <w:num w:numId="8" w16cid:durableId="1097406151">
    <w:abstractNumId w:val="1"/>
  </w:num>
  <w:num w:numId="9" w16cid:durableId="92276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326F90"/>
    <w:rsid w:val="00383D14"/>
    <w:rsid w:val="00AA1D8D"/>
    <w:rsid w:val="00B47730"/>
    <w:rsid w:val="00C819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D05EB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271</Words>
  <Characters>1687</Characters>
  <Application>Microsoft Office Word</Application>
  <DocSecurity>0</DocSecurity>
  <Lines>70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2026-07-20T16:29:00Z</dcterms:created>
  <dcterms:modified xsi:type="dcterms:W3CDTF">2026-07-20T16:29:00Z</dcterms:modified>
  <cp:category/>
</cp:coreProperties>
</file>