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C3F2" w14:textId="77777777" w:rsidR="001F28C6" w:rsidRDefault="00000000">
      <w:pPr>
        <w:pStyle w:val="Title"/>
        <w:jc w:val="center"/>
      </w:pPr>
      <w:r>
        <w:t>Passive Phase-Change Thermal Buffer Enclosure for MinION Temperature Stabilization</w:t>
      </w:r>
    </w:p>
    <w:p w14:paraId="4E82F2C9" w14:textId="77777777" w:rsidR="00847A3F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Passive temperature-stable vehicle-mounted combined inertial navigation device</w:t>
      </w:r>
    </w:p>
    <w:p w14:paraId="0060EB51" w14:textId="3E62581A" w:rsidR="001F28C6" w:rsidRDefault="000E018E">
      <w:r>
        <w:rPr>
          <w:noProof/>
        </w:rPr>
        <w:drawing>
          <wp:inline distT="0" distB="0" distL="0" distR="0" wp14:anchorId="02972ACA" wp14:editId="65BE7ED8">
            <wp:extent cx="5486400" cy="3087370"/>
            <wp:effectExtent l="0" t="0" r="0" b="0"/>
            <wp:docPr id="1139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b/>
        </w:rPr>
        <w:t xml:space="preserve">TRIZ: </w:t>
      </w:r>
      <w:r w:rsidR="00000000">
        <w:t>Field evolution: mechanical thermal conduction → phase-change latent heat absorption</w:t>
      </w:r>
      <w:r w:rsidR="00000000">
        <w:br/>
      </w:r>
      <w:r w:rsidR="00000000">
        <w:rPr>
          <w:b/>
        </w:rPr>
        <w:t xml:space="preserve">Analysis Method: </w:t>
      </w:r>
      <w:r w:rsidR="00000000">
        <w:t>Substance-field analysis</w:t>
      </w:r>
    </w:p>
    <w:p w14:paraId="21303215" w14:textId="77777777" w:rsidR="001F28C6" w:rsidRDefault="00000000">
      <w:r>
        <w:rPr>
          <w:b/>
        </w:rPr>
        <w:t xml:space="preserve">Cross-domain application: </w:t>
      </w:r>
      <w:r>
        <w:t>Surround the MinION interface zone with a phase-change material enclosure (paraffin wax or salt hydrate with 20–25°C melting point) that absorbs heat via latent heat during phase transition.</w:t>
      </w:r>
    </w:p>
    <w:p w14:paraId="50FE1730" w14:textId="77777777" w:rsidR="001F28C6" w:rsidRDefault="00000000">
      <w:pPr>
        <w:pStyle w:val="Heading1"/>
      </w:pPr>
      <w:r>
        <w:t>Original Problem</w:t>
      </w:r>
    </w:p>
    <w:p w14:paraId="3ECC6035" w14:textId="77777777" w:rsidR="001F28C6" w:rsidRDefault="00000000">
      <w:r>
        <w:rPr>
          <w:b/>
        </w:rPr>
        <w:t xml:space="preserve">Heat conduction raises interface temperature: </w:t>
      </w:r>
      <w:r>
        <w:t>Aluminum frame at ~40°C and sequencer module at ~200 W dissipation conduct heat to MinION, exceeding its 15–30°C target window.</w:t>
      </w:r>
    </w:p>
    <w:p w14:paraId="4193ADF1" w14:textId="77777777" w:rsidR="001F28C6" w:rsidRDefault="00000000">
      <w:pPr>
        <w:pStyle w:val="Heading1"/>
      </w:pPr>
      <w:r>
        <w:lastRenderedPageBreak/>
        <w:t>Core Modification</w:t>
      </w:r>
    </w:p>
    <w:p w14:paraId="5984C47A" w14:textId="77777777" w:rsidR="001F28C6" w:rsidRDefault="00000000">
      <w:r>
        <w:rPr>
          <w:b/>
        </w:rPr>
        <w:t xml:space="preserve">Phase-change material (PCM) enclosure: </w:t>
      </w:r>
      <w:r>
        <w:t>Modified interface between aluminum frame and MinION.</w:t>
      </w:r>
    </w:p>
    <w:p w14:paraId="55725290" w14:textId="77777777" w:rsidR="001F28C6" w:rsidRDefault="00000000">
      <w:pPr>
        <w:pStyle w:val="Heading1"/>
      </w:pPr>
      <w:r>
        <w:t>Mechanism (PCM as Thermal Capacitor)</w:t>
      </w:r>
    </w:p>
    <w:p w14:paraId="1DD63AC7" w14:textId="77777777" w:rsidR="001F28C6" w:rsidRDefault="00000000">
      <w:pPr>
        <w:pStyle w:val="ListNumber"/>
      </w:pPr>
      <w:r>
        <w:t>Solid state (standby/cool): PCM stores little heat at low temperature</w:t>
      </w:r>
    </w:p>
    <w:p w14:paraId="3E999D50" w14:textId="77777777" w:rsidR="001F28C6" w:rsidRDefault="00000000">
      <w:pPr>
        <w:pStyle w:val="ListNumber"/>
      </w:pPr>
      <w:r>
        <w:t>Phase change (melting): Absorbs heat at ~20–25°C via latent heat</w:t>
      </w:r>
    </w:p>
    <w:p w14:paraId="2634E8AC" w14:textId="77777777" w:rsidR="001F28C6" w:rsidRDefault="00000000">
      <w:pPr>
        <w:pStyle w:val="ListNumber"/>
      </w:pPr>
      <w:r>
        <w:t>Liquid state (saturated): Buffers temperature rise, slows heat transfer</w:t>
      </w:r>
    </w:p>
    <w:p w14:paraId="56CEC375" w14:textId="77777777" w:rsidR="001F28C6" w:rsidRDefault="00000000">
      <w:pPr>
        <w:pStyle w:val="ListNumber"/>
      </w:pPr>
      <w:r>
        <w:t>Regenerated during module standby or field swap (natural cooling)</w:t>
      </w:r>
    </w:p>
    <w:p w14:paraId="552D4974" w14:textId="77777777" w:rsidR="001F28C6" w:rsidRDefault="00000000">
      <w:pPr>
        <w:pStyle w:val="Heading1"/>
      </w:pPr>
      <w:r>
        <w:t>Improved Thermal Action Path</w:t>
      </w:r>
    </w:p>
    <w:p w14:paraId="4567BAD6" w14:textId="77777777" w:rsidR="001F28C6" w:rsidRDefault="00000000">
      <w:pPr>
        <w:pStyle w:val="ListNumber"/>
      </w:pPr>
      <w:r>
        <w:t>Heat absorbed by PCM (latent heat)</w:t>
      </w:r>
    </w:p>
    <w:p w14:paraId="37777976" w14:textId="77777777" w:rsidR="001F28C6" w:rsidRDefault="00000000">
      <w:pPr>
        <w:pStyle w:val="ListNumber"/>
      </w:pPr>
      <w:r>
        <w:t>Heat spread &amp; buffered in PCM mass</w:t>
      </w:r>
    </w:p>
    <w:p w14:paraId="7D7B75E9" w14:textId="77777777" w:rsidR="001F28C6" w:rsidRDefault="00000000">
      <w:pPr>
        <w:pStyle w:val="ListNumber"/>
      </w:pPr>
      <w:r>
        <w:t>MinION kept in 15–30°C window for hours</w:t>
      </w:r>
    </w:p>
    <w:p w14:paraId="046767E1" w14:textId="77777777" w:rsidR="001F28C6" w:rsidRDefault="00000000">
      <w:pPr>
        <w:pStyle w:val="Heading1"/>
      </w:pPr>
      <w:r>
        <w:t>System Impact</w:t>
      </w:r>
    </w:p>
    <w:p w14:paraId="0E08DC83" w14:textId="77777777" w:rsidR="001F28C6" w:rsidRDefault="00000000">
      <w:pPr>
        <w:pStyle w:val="ListBullet"/>
      </w:pPr>
      <w:r>
        <w:t>Avoids 30–50 W TEC penalty</w:t>
      </w:r>
    </w:p>
    <w:p w14:paraId="050042CB" w14:textId="77777777" w:rsidR="001F28C6" w:rsidRDefault="00000000">
      <w:pPr>
        <w:pStyle w:val="ListBullet"/>
      </w:pPr>
      <w:r>
        <w:t>Keeps total module power under 200 W</w:t>
      </w:r>
    </w:p>
    <w:p w14:paraId="760F17DF" w14:textId="77777777" w:rsidR="001F28C6" w:rsidRDefault="00000000">
      <w:pPr>
        <w:pStyle w:val="ListBullet"/>
      </w:pPr>
      <w:r>
        <w:t>Uses aerospace-proven passive thermal management materials</w:t>
      </w:r>
    </w:p>
    <w:p w14:paraId="3C13B3B5" w14:textId="77777777" w:rsidR="001F28C6" w:rsidRDefault="00000000">
      <w:pPr>
        <w:pStyle w:val="ListBullet"/>
      </w:pPr>
      <w:r>
        <w:t>Extends MinION stable window for hours without active cooling</w:t>
      </w:r>
    </w:p>
    <w:p w14:paraId="5AE1FD98" w14:textId="77777777" w:rsidR="001F28C6" w:rsidRDefault="00000000">
      <w:pPr>
        <w:pStyle w:val="Heading1"/>
      </w:pPr>
      <w:r>
        <w:t>Validation Area / Parameter Window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F28C6" w14:paraId="46697675" w14:textId="77777777">
        <w:tc>
          <w:tcPr>
            <w:tcW w:w="4320" w:type="dxa"/>
            <w:shd w:val="clear" w:color="auto" w:fill="C00000"/>
          </w:tcPr>
          <w:p w14:paraId="2ACA9E11" w14:textId="77777777" w:rsidR="001F28C6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C00000"/>
          </w:tcPr>
          <w:p w14:paraId="3A1EB097" w14:textId="77777777" w:rsidR="001F28C6" w:rsidRDefault="00000000">
            <w:r>
              <w:rPr>
                <w:b/>
                <w:color w:val="FFFFFF"/>
              </w:rPr>
              <w:t>Validation Need</w:t>
            </w:r>
          </w:p>
        </w:tc>
      </w:tr>
      <w:tr w:rsidR="001F28C6" w14:paraId="601A90E9" w14:textId="77777777">
        <w:tc>
          <w:tcPr>
            <w:tcW w:w="4320" w:type="dxa"/>
          </w:tcPr>
          <w:p w14:paraId="56F24C08" w14:textId="77777777" w:rsidR="001F28C6" w:rsidRDefault="00000000">
            <w:r>
              <w:t>Enclosure geometry</w:t>
            </w:r>
          </w:p>
        </w:tc>
        <w:tc>
          <w:tcPr>
            <w:tcW w:w="4320" w:type="dxa"/>
          </w:tcPr>
          <w:p w14:paraId="285BAD78" w14:textId="77777777" w:rsidR="001F28C6" w:rsidRDefault="00000000">
            <w:r>
              <w:t>Fit within Ø400 × 350 mm envelope</w:t>
            </w:r>
          </w:p>
        </w:tc>
      </w:tr>
      <w:tr w:rsidR="001F28C6" w14:paraId="7502EBF3" w14:textId="77777777">
        <w:tc>
          <w:tcPr>
            <w:tcW w:w="4320" w:type="dxa"/>
          </w:tcPr>
          <w:p w14:paraId="76361CF3" w14:textId="77777777" w:rsidR="001F28C6" w:rsidRDefault="00000000">
            <w:r>
              <w:t>Sample port access path</w:t>
            </w:r>
          </w:p>
        </w:tc>
        <w:tc>
          <w:tcPr>
            <w:tcW w:w="4320" w:type="dxa"/>
          </w:tcPr>
          <w:p w14:paraId="15017C1C" w14:textId="77777777" w:rsidR="001F28C6" w:rsidRDefault="00000000">
            <w:r>
              <w:t>Clearance, sealing, and usability</w:t>
            </w:r>
          </w:p>
        </w:tc>
      </w:tr>
      <w:tr w:rsidR="001F28C6" w14:paraId="6535942C" w14:textId="77777777">
        <w:tc>
          <w:tcPr>
            <w:tcW w:w="4320" w:type="dxa"/>
          </w:tcPr>
          <w:p w14:paraId="0C22C8CF" w14:textId="77777777" w:rsidR="001F28C6" w:rsidRDefault="00000000">
            <w:r>
              <w:t>PCM selection window</w:t>
            </w:r>
          </w:p>
        </w:tc>
        <w:tc>
          <w:tcPr>
            <w:tcW w:w="4320" w:type="dxa"/>
          </w:tcPr>
          <w:p w14:paraId="2D7E66AC" w14:textId="77777777" w:rsidR="001F28C6" w:rsidRDefault="00000000">
            <w:r>
              <w:t>Melting point 20–25°C (paraffin wax or salt hydrate)</w:t>
            </w:r>
          </w:p>
        </w:tc>
      </w:tr>
      <w:tr w:rsidR="001F28C6" w14:paraId="53CA2474" w14:textId="77777777">
        <w:tc>
          <w:tcPr>
            <w:tcW w:w="4320" w:type="dxa"/>
          </w:tcPr>
          <w:p w14:paraId="538244F5" w14:textId="77777777" w:rsidR="001F28C6" w:rsidRDefault="00000000">
            <w:r>
              <w:t>Thermal performance</w:t>
            </w:r>
          </w:p>
        </w:tc>
        <w:tc>
          <w:tcPr>
            <w:tcW w:w="4320" w:type="dxa"/>
          </w:tcPr>
          <w:p w14:paraId="479C5733" w14:textId="77777777" w:rsidR="001F28C6" w:rsidRDefault="00000000">
            <w:r>
              <w:t>Hold MinION in 15–30°C for hours</w:t>
            </w:r>
          </w:p>
        </w:tc>
      </w:tr>
    </w:tbl>
    <w:p w14:paraId="0CE569AF" w14:textId="77777777" w:rsidR="001F28C6" w:rsidRDefault="001F28C6"/>
    <w:p w14:paraId="5814157F" w14:textId="77777777" w:rsidR="001F28C6" w:rsidRDefault="00000000">
      <w:r>
        <w:rPr>
          <w:i/>
        </w:rPr>
        <w:t>Note: Enclosure geometry and sample port access path need validation against Ø400×350mm envelope.</w:t>
      </w:r>
    </w:p>
    <w:sectPr w:rsidR="001F2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367509">
    <w:abstractNumId w:val="8"/>
  </w:num>
  <w:num w:numId="2" w16cid:durableId="359477900">
    <w:abstractNumId w:val="6"/>
  </w:num>
  <w:num w:numId="3" w16cid:durableId="1271087563">
    <w:abstractNumId w:val="5"/>
  </w:num>
  <w:num w:numId="4" w16cid:durableId="2074505498">
    <w:abstractNumId w:val="4"/>
  </w:num>
  <w:num w:numId="5" w16cid:durableId="1043482282">
    <w:abstractNumId w:val="7"/>
  </w:num>
  <w:num w:numId="6" w16cid:durableId="1564829353">
    <w:abstractNumId w:val="3"/>
  </w:num>
  <w:num w:numId="7" w16cid:durableId="1502045420">
    <w:abstractNumId w:val="2"/>
  </w:num>
  <w:num w:numId="8" w16cid:durableId="1983541995">
    <w:abstractNumId w:val="1"/>
  </w:num>
  <w:num w:numId="9" w16cid:durableId="206775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0E018E"/>
    <w:rsid w:val="0015074B"/>
    <w:rsid w:val="001F28C6"/>
    <w:rsid w:val="0029639D"/>
    <w:rsid w:val="00326F90"/>
    <w:rsid w:val="00847A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0F949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1628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2026-07-20T16:39:00Z</dcterms:created>
  <dcterms:modified xsi:type="dcterms:W3CDTF">2026-07-20T16:39:00Z</dcterms:modified>
  <cp:category/>
</cp:coreProperties>
</file>