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B8A5" w14:textId="77777777" w:rsidR="00125702" w:rsidRDefault="00000000">
      <w:pPr>
        <w:pStyle w:val="Title"/>
        <w:jc w:val="center"/>
      </w:pPr>
      <w:r>
        <w:rPr>
          <w:b/>
          <w:color w:val="1F4E79"/>
          <w:sz w:val="36"/>
        </w:rPr>
        <w:t>Phase-Change Thermal Buffer Layer for Transient Heat Peak Absorption in Sealed Pod</w:t>
      </w:r>
    </w:p>
    <w:p w14:paraId="635887E0" w14:textId="77777777" w:rsidR="00125702" w:rsidRDefault="00000000">
      <w:pPr>
        <w:jc w:val="center"/>
      </w:pPr>
      <w:r>
        <w:rPr>
          <w:i/>
          <w:color w:val="444444"/>
          <w:sz w:val="24"/>
        </w:rPr>
        <w:t>Time-Separated Heat Storage &amp; Rejection — PCM Honeycomb in Carbon Fiber Shell</w:t>
      </w:r>
    </w:p>
    <w:p w14:paraId="566198D4" w14:textId="170A169E" w:rsidR="00125702" w:rsidRDefault="00EA7927">
      <w:r>
        <w:t>Sunday, July 19, 2026</w:t>
      </w:r>
      <w:r>
        <w:br/>
      </w:r>
      <w:r>
        <w:br/>
      </w:r>
      <w:r>
        <w:rPr>
          <w:noProof/>
        </w:rPr>
        <w:drawing>
          <wp:inline distT="0" distB="0" distL="0" distR="0" wp14:anchorId="1EF79DAA" wp14:editId="68713FE6">
            <wp:extent cx="6576060" cy="4495800"/>
            <wp:effectExtent l="0" t="0" r="0" b="0"/>
            <wp:docPr id="11387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6060" cy="4495800"/>
                    </a:xfrm>
                    <a:prstGeom prst="rect">
                      <a:avLst/>
                    </a:prstGeom>
                    <a:noFill/>
                    <a:ln>
                      <a:noFill/>
                    </a:ln>
                  </pic:spPr>
                </pic:pic>
              </a:graphicData>
            </a:graphic>
          </wp:inline>
        </w:drawing>
      </w:r>
    </w:p>
    <w:p w14:paraId="7930F1E7" w14:textId="77777777" w:rsidR="00125702" w:rsidRDefault="00000000">
      <w:pPr>
        <w:pStyle w:val="Heading1"/>
      </w:pPr>
      <w:r>
        <w:rPr>
          <w:color w:val="1F4E79"/>
        </w:rPr>
        <w:t>Executive Summary</w:t>
      </w:r>
    </w:p>
    <w:p w14:paraId="65BD128B" w14:textId="77777777" w:rsidR="00125702" w:rsidRDefault="00000000">
      <w:r>
        <w:t xml:space="preserve">This document describes the embedding of a </w:t>
      </w:r>
      <w:r>
        <w:rPr>
          <w:b/>
        </w:rPr>
        <w:t>honeycomb-structured phase-change material (PCM) thermal buffer layer</w:t>
      </w:r>
      <w:r>
        <w:t xml:space="preserve"> inside the carbon fiber pod shell. The PCM layer absorbs transient thermal peaks during high-power sensor operations (QCL spectroscopy, GPR pulses) by melting and storing 60–80 kJ of latent heat, then passively releases this stored heat to the shell exterior during flight idle or ground periods by solidifying. This </w:t>
      </w:r>
      <w:r>
        <w:rPr>
          <w:b/>
        </w:rPr>
        <w:t>time-separated heat management mechanism</w:t>
      </w:r>
      <w:r>
        <w:t xml:space="preserve"> maintains QCL/MinION modules within operating limits without active cooling, power budget increase, or breaking the IP54 seal.</w:t>
      </w:r>
    </w:p>
    <w:p w14:paraId="217D406E" w14:textId="77777777" w:rsidR="00125702" w:rsidRDefault="00000000">
      <w:pPr>
        <w:pStyle w:val="Heading1"/>
      </w:pPr>
      <w:r>
        <w:rPr>
          <w:color w:val="1F4E79"/>
        </w:rPr>
        <w:lastRenderedPageBreak/>
        <w:t>1. Problem Statement</w:t>
      </w:r>
    </w:p>
    <w:p w14:paraId="5D1D7EF2" w14:textId="77777777" w:rsidR="00125702" w:rsidRDefault="00000000">
      <w:r>
        <w:t>High-power sensor operations inside a sealed carbon fiber pod generate transient heat spikes that create two critical issues:</w:t>
      </w:r>
    </w:p>
    <w:p w14:paraId="4F9BF297" w14:textId="77777777" w:rsidR="00125702" w:rsidRDefault="00000000">
      <w:pPr>
        <w:pStyle w:val="ListBullet"/>
      </w:pPr>
      <w:r>
        <w:t>TEC Saturation Risk</w:t>
      </w:r>
    </w:p>
    <w:p w14:paraId="2CB65B2E" w14:textId="77777777" w:rsidR="00125702" w:rsidRDefault="00000000">
      <w:pPr>
        <w:pStyle w:val="ListBullet2"/>
      </w:pPr>
      <w:r>
        <w:t>The thermoelectric cooler (TEC) reaches its maximum heat pumping capacity during peak thermal loads, causing temperature overshoot and potential sensor damage or performance degradation.</w:t>
      </w:r>
    </w:p>
    <w:p w14:paraId="6AD4C2C2" w14:textId="77777777" w:rsidR="00125702" w:rsidRDefault="00000000">
      <w:pPr>
        <w:pStyle w:val="ListBullet"/>
      </w:pPr>
      <w:r>
        <w:t>Temperature Spikes</w:t>
      </w:r>
    </w:p>
    <w:p w14:paraId="7F407E84" w14:textId="77777777" w:rsidR="00125702" w:rsidRDefault="00000000">
      <w:pPr>
        <w:pStyle w:val="ListBullet2"/>
      </w:pPr>
      <w:r>
        <w:t>Rapid heat generation from QCL spectroscopy and GPR pulse operations exceeds the passive thermal dissipation rate through the carbon fiber shell, creating localized hot zones that push sensors outside their operating temperature window.</w:t>
      </w:r>
    </w:p>
    <w:p w14:paraId="68427979" w14:textId="77777777" w:rsidR="00125702" w:rsidRDefault="00000000">
      <w:r>
        <w:t>The sealed IP54 enclosure prevents active cooling solutions (fans, liquid cooling) and limits the thermal path to conduction through the shell. The existing aluminum structural ribs provide some heat spreading but cannot buffer transient peaks.</w:t>
      </w:r>
    </w:p>
    <w:p w14:paraId="593B09F9" w14:textId="77777777" w:rsidR="00125702" w:rsidRDefault="00000000">
      <w:pPr>
        <w:pStyle w:val="Heading1"/>
      </w:pPr>
      <w:r>
        <w:rPr>
          <w:color w:val="1F4E79"/>
        </w:rPr>
        <w:t>2. Solution Principle</w:t>
      </w:r>
    </w:p>
    <w:p w14:paraId="48FA6854" w14:textId="77777777" w:rsidR="00125702" w:rsidRDefault="00000000">
      <w:r>
        <w:t>Add a PCM thermal buffer layer with carbon nanotube (CNT) coating inside the carbon fiber shell, bonded to the existing aluminum structural ribs. The PCM operates on a time-separated thermal cycle:</w:t>
      </w:r>
    </w:p>
    <w:tbl>
      <w:tblPr>
        <w:tblStyle w:val="TableGrid"/>
        <w:tblW w:w="0" w:type="auto"/>
        <w:tblLook w:val="04A0" w:firstRow="1" w:lastRow="0" w:firstColumn="1" w:lastColumn="0" w:noHBand="0" w:noVBand="1"/>
      </w:tblPr>
      <w:tblGrid>
        <w:gridCol w:w="2880"/>
        <w:gridCol w:w="2880"/>
        <w:gridCol w:w="2880"/>
      </w:tblGrid>
      <w:tr w:rsidR="00125702" w14:paraId="3EA28281" w14:textId="77777777">
        <w:tc>
          <w:tcPr>
            <w:tcW w:w="2880" w:type="dxa"/>
            <w:shd w:val="clear" w:color="auto" w:fill="1F4E79"/>
          </w:tcPr>
          <w:p w14:paraId="4981344F" w14:textId="77777777" w:rsidR="00125702" w:rsidRDefault="00000000">
            <w:r>
              <w:rPr>
                <w:b/>
                <w:color w:val="FFFFFF"/>
              </w:rPr>
              <w:t>Parameter</w:t>
            </w:r>
          </w:p>
        </w:tc>
        <w:tc>
          <w:tcPr>
            <w:tcW w:w="2880" w:type="dxa"/>
            <w:shd w:val="clear" w:color="auto" w:fill="1F4E79"/>
          </w:tcPr>
          <w:p w14:paraId="7CC093B6" w14:textId="77777777" w:rsidR="00125702" w:rsidRDefault="00000000">
            <w:r>
              <w:rPr>
                <w:b/>
                <w:color w:val="FFFFFF"/>
              </w:rPr>
              <w:t>Value</w:t>
            </w:r>
          </w:p>
        </w:tc>
        <w:tc>
          <w:tcPr>
            <w:tcW w:w="2880" w:type="dxa"/>
            <w:shd w:val="clear" w:color="auto" w:fill="1F4E79"/>
          </w:tcPr>
          <w:p w14:paraId="02EFA53B" w14:textId="77777777" w:rsidR="00125702" w:rsidRDefault="00000000">
            <w:r>
              <w:rPr>
                <w:b/>
                <w:color w:val="FFFFFF"/>
              </w:rPr>
              <w:t>Purpose</w:t>
            </w:r>
          </w:p>
        </w:tc>
      </w:tr>
      <w:tr w:rsidR="00125702" w14:paraId="72313BD3" w14:textId="77777777">
        <w:tc>
          <w:tcPr>
            <w:tcW w:w="2880" w:type="dxa"/>
          </w:tcPr>
          <w:p w14:paraId="7B755FEF" w14:textId="77777777" w:rsidR="00125702" w:rsidRDefault="00000000">
            <w:r>
              <w:t>PCM Thickness</w:t>
            </w:r>
          </w:p>
        </w:tc>
        <w:tc>
          <w:tcPr>
            <w:tcW w:w="2880" w:type="dxa"/>
          </w:tcPr>
          <w:p w14:paraId="60EE5932" w14:textId="77777777" w:rsidR="00125702" w:rsidRDefault="00000000">
            <w:r>
              <w:t>3–5 mm</w:t>
            </w:r>
          </w:p>
        </w:tc>
        <w:tc>
          <w:tcPr>
            <w:tcW w:w="2880" w:type="dxa"/>
          </w:tcPr>
          <w:p w14:paraId="32E0B94B" w14:textId="77777777" w:rsidR="00125702" w:rsidRDefault="00000000">
            <w:r>
              <w:t>Sufficient latent heat capacity without excessive volume</w:t>
            </w:r>
          </w:p>
        </w:tc>
      </w:tr>
      <w:tr w:rsidR="00125702" w14:paraId="1DE0217B" w14:textId="77777777">
        <w:tc>
          <w:tcPr>
            <w:tcW w:w="2880" w:type="dxa"/>
          </w:tcPr>
          <w:p w14:paraId="65D0F5BA" w14:textId="77777777" w:rsidR="00125702" w:rsidRDefault="00000000">
            <w:r>
              <w:t>PCM Mass</w:t>
            </w:r>
          </w:p>
        </w:tc>
        <w:tc>
          <w:tcPr>
            <w:tcW w:w="2880" w:type="dxa"/>
          </w:tcPr>
          <w:p w14:paraId="1C6FC5F3" w14:textId="77777777" w:rsidR="00125702" w:rsidRDefault="00000000">
            <w:r>
              <w:t>~0.3–0.5 kg</w:t>
            </w:r>
          </w:p>
        </w:tc>
        <w:tc>
          <w:tcPr>
            <w:tcW w:w="2880" w:type="dxa"/>
          </w:tcPr>
          <w:p w14:paraId="0709CBE7" w14:textId="77777777" w:rsidR="00125702" w:rsidRDefault="00000000">
            <w:r>
              <w:t>Adds &lt;0.5 kg to pod mass budget</w:t>
            </w:r>
          </w:p>
        </w:tc>
      </w:tr>
      <w:tr w:rsidR="00125702" w14:paraId="493A2449" w14:textId="77777777">
        <w:tc>
          <w:tcPr>
            <w:tcW w:w="2880" w:type="dxa"/>
          </w:tcPr>
          <w:p w14:paraId="3A7126E1" w14:textId="77777777" w:rsidR="00125702" w:rsidRDefault="00000000">
            <w:r>
              <w:t>Melting Point (Tmelt)</w:t>
            </w:r>
          </w:p>
        </w:tc>
        <w:tc>
          <w:tcPr>
            <w:tcW w:w="2880" w:type="dxa"/>
          </w:tcPr>
          <w:p w14:paraId="21ED4C3F" w14:textId="77777777" w:rsidR="00125702" w:rsidRDefault="00000000">
            <w:r>
              <w:t>35–40°C</w:t>
            </w:r>
          </w:p>
        </w:tc>
        <w:tc>
          <w:tcPr>
            <w:tcW w:w="2880" w:type="dxa"/>
          </w:tcPr>
          <w:p w14:paraId="2792E3CE" w14:textId="77777777" w:rsidR="00125702" w:rsidRDefault="00000000">
            <w:r>
              <w:t>Above ambient, below TEC saturation threshold</w:t>
            </w:r>
          </w:p>
        </w:tc>
      </w:tr>
      <w:tr w:rsidR="00125702" w14:paraId="66A3F5D9" w14:textId="77777777">
        <w:tc>
          <w:tcPr>
            <w:tcW w:w="2880" w:type="dxa"/>
          </w:tcPr>
          <w:p w14:paraId="568EE52D" w14:textId="77777777" w:rsidR="00125702" w:rsidRDefault="00000000">
            <w:r>
              <w:t>Latent Heat of Fusion (L)</w:t>
            </w:r>
          </w:p>
        </w:tc>
        <w:tc>
          <w:tcPr>
            <w:tcW w:w="2880" w:type="dxa"/>
          </w:tcPr>
          <w:p w14:paraId="42FAD553" w14:textId="77777777" w:rsidR="00125702" w:rsidRDefault="00000000">
            <w:r>
              <w:t>~150–200 kJ/kg</w:t>
            </w:r>
          </w:p>
        </w:tc>
        <w:tc>
          <w:tcPr>
            <w:tcW w:w="2880" w:type="dxa"/>
          </w:tcPr>
          <w:p w14:paraId="2BD6B329" w14:textId="77777777" w:rsidR="00125702" w:rsidRDefault="00000000">
            <w:r>
              <w:t>Energy storage per unit mass during phase change</w:t>
            </w:r>
          </w:p>
        </w:tc>
      </w:tr>
      <w:tr w:rsidR="00125702" w14:paraId="22D946F5" w14:textId="77777777">
        <w:tc>
          <w:tcPr>
            <w:tcW w:w="2880" w:type="dxa"/>
          </w:tcPr>
          <w:p w14:paraId="3B1B6A63" w14:textId="77777777" w:rsidR="00125702" w:rsidRDefault="00000000">
            <w:r>
              <w:t>Thermal Conductivity (CNT coating)</w:t>
            </w:r>
          </w:p>
        </w:tc>
        <w:tc>
          <w:tcPr>
            <w:tcW w:w="2880" w:type="dxa"/>
          </w:tcPr>
          <w:p w14:paraId="25CD28AA" w14:textId="77777777" w:rsidR="00125702" w:rsidRDefault="00000000">
            <w:r>
              <w:t>5–8 W/mK</w:t>
            </w:r>
          </w:p>
        </w:tc>
        <w:tc>
          <w:tcPr>
            <w:tcW w:w="2880" w:type="dxa"/>
          </w:tcPr>
          <w:p w14:paraId="4A9DCD49" w14:textId="77777777" w:rsidR="00125702" w:rsidRDefault="00000000">
            <w:r>
              <w:t>Enhanced heat transfer between PCM and shell/ribs</w:t>
            </w:r>
          </w:p>
        </w:tc>
      </w:tr>
    </w:tbl>
    <w:p w14:paraId="0483EBE4" w14:textId="77777777" w:rsidR="00125702" w:rsidRDefault="00125702"/>
    <w:p w14:paraId="53FD36DC" w14:textId="77777777" w:rsidR="00125702" w:rsidRDefault="00000000">
      <w:r>
        <w:rPr>
          <w:b/>
        </w:rPr>
        <w:t xml:space="preserve">Honeycomb structure: </w:t>
      </w:r>
      <w:r>
        <w:t>The PCM is formed into a honeycomb geometry to maximize surface area for heat exchange, minimize structural mass, and maintain mechanical integrity during repeated melt/solidify cycles.</w:t>
      </w:r>
    </w:p>
    <w:p w14:paraId="342E7621" w14:textId="77777777" w:rsidR="00125702" w:rsidRDefault="00000000">
      <w:pPr>
        <w:pStyle w:val="Heading1"/>
      </w:pPr>
      <w:r>
        <w:rPr>
          <w:color w:val="1F4E79"/>
        </w:rPr>
        <w:t>3. System Architecture</w:t>
      </w:r>
    </w:p>
    <w:p w14:paraId="7576B284" w14:textId="77777777" w:rsidR="00125702" w:rsidRDefault="00000000">
      <w:pPr>
        <w:pStyle w:val="Heading2"/>
      </w:pPr>
      <w:r>
        <w:t>3.1 Layer Stack-Up (Inward to Outward)</w:t>
      </w:r>
    </w:p>
    <w:tbl>
      <w:tblPr>
        <w:tblStyle w:val="TableGrid"/>
        <w:tblW w:w="0" w:type="auto"/>
        <w:tblLook w:val="04A0" w:firstRow="1" w:lastRow="0" w:firstColumn="1" w:lastColumn="0" w:noHBand="0" w:noVBand="1"/>
      </w:tblPr>
      <w:tblGrid>
        <w:gridCol w:w="2880"/>
        <w:gridCol w:w="2880"/>
        <w:gridCol w:w="2880"/>
      </w:tblGrid>
      <w:tr w:rsidR="00125702" w14:paraId="2677AB83" w14:textId="77777777">
        <w:tc>
          <w:tcPr>
            <w:tcW w:w="2880" w:type="dxa"/>
            <w:shd w:val="clear" w:color="auto" w:fill="1F4E79"/>
          </w:tcPr>
          <w:p w14:paraId="65AB6CAF" w14:textId="77777777" w:rsidR="00125702" w:rsidRDefault="00000000">
            <w:r>
              <w:rPr>
                <w:b/>
                <w:color w:val="FFFFFF"/>
              </w:rPr>
              <w:t>Layer</w:t>
            </w:r>
          </w:p>
        </w:tc>
        <w:tc>
          <w:tcPr>
            <w:tcW w:w="2880" w:type="dxa"/>
            <w:shd w:val="clear" w:color="auto" w:fill="1F4E79"/>
          </w:tcPr>
          <w:p w14:paraId="7C7563CA" w14:textId="77777777" w:rsidR="00125702" w:rsidRDefault="00000000">
            <w:r>
              <w:rPr>
                <w:b/>
                <w:color w:val="FFFFFF"/>
              </w:rPr>
              <w:t>Material</w:t>
            </w:r>
          </w:p>
        </w:tc>
        <w:tc>
          <w:tcPr>
            <w:tcW w:w="2880" w:type="dxa"/>
            <w:shd w:val="clear" w:color="auto" w:fill="1F4E79"/>
          </w:tcPr>
          <w:p w14:paraId="3E824401" w14:textId="77777777" w:rsidR="00125702" w:rsidRDefault="00000000">
            <w:r>
              <w:rPr>
                <w:b/>
                <w:color w:val="FFFFFF"/>
              </w:rPr>
              <w:t>Function</w:t>
            </w:r>
          </w:p>
        </w:tc>
      </w:tr>
      <w:tr w:rsidR="00125702" w14:paraId="312DC259" w14:textId="77777777">
        <w:tc>
          <w:tcPr>
            <w:tcW w:w="2880" w:type="dxa"/>
          </w:tcPr>
          <w:p w14:paraId="57FB8F90" w14:textId="77777777" w:rsidR="00125702" w:rsidRDefault="00000000">
            <w:r>
              <w:t>1 — Interior</w:t>
            </w:r>
          </w:p>
        </w:tc>
        <w:tc>
          <w:tcPr>
            <w:tcW w:w="2880" w:type="dxa"/>
          </w:tcPr>
          <w:p w14:paraId="68BF7262" w14:textId="77777777" w:rsidR="00125702" w:rsidRDefault="00000000">
            <w:r>
              <w:t>QCL / MinION Module + TEC</w:t>
            </w:r>
          </w:p>
        </w:tc>
        <w:tc>
          <w:tcPr>
            <w:tcW w:w="2880" w:type="dxa"/>
          </w:tcPr>
          <w:p w14:paraId="13940919" w14:textId="77777777" w:rsidR="00125702" w:rsidRDefault="00000000">
            <w:r>
              <w:t>Heat source; thermoelectric cooling</w:t>
            </w:r>
          </w:p>
        </w:tc>
      </w:tr>
      <w:tr w:rsidR="00125702" w14:paraId="075AD895" w14:textId="77777777">
        <w:tc>
          <w:tcPr>
            <w:tcW w:w="2880" w:type="dxa"/>
          </w:tcPr>
          <w:p w14:paraId="4385A800" w14:textId="77777777" w:rsidR="00125702" w:rsidRDefault="00000000">
            <w:r>
              <w:t>2 — Structural</w:t>
            </w:r>
          </w:p>
        </w:tc>
        <w:tc>
          <w:tcPr>
            <w:tcW w:w="2880" w:type="dxa"/>
          </w:tcPr>
          <w:p w14:paraId="798ACF67" w14:textId="77777777" w:rsidR="00125702" w:rsidRDefault="00000000">
            <w:r>
              <w:t>Aluminum ribs</w:t>
            </w:r>
          </w:p>
        </w:tc>
        <w:tc>
          <w:tcPr>
            <w:tcW w:w="2880" w:type="dxa"/>
          </w:tcPr>
          <w:p w14:paraId="5D43A697" w14:textId="77777777" w:rsidR="00125702" w:rsidRDefault="00000000">
            <w:r>
              <w:t>Heat spreading; mechanical support; PCM bonding surface</w:t>
            </w:r>
          </w:p>
        </w:tc>
      </w:tr>
      <w:tr w:rsidR="00125702" w14:paraId="44A4203F" w14:textId="77777777">
        <w:tc>
          <w:tcPr>
            <w:tcW w:w="2880" w:type="dxa"/>
          </w:tcPr>
          <w:p w14:paraId="43338AEB" w14:textId="77777777" w:rsidR="00125702" w:rsidRDefault="00000000">
            <w:r>
              <w:t>3 — Thermal Buffer</w:t>
            </w:r>
          </w:p>
        </w:tc>
        <w:tc>
          <w:tcPr>
            <w:tcW w:w="2880" w:type="dxa"/>
          </w:tcPr>
          <w:p w14:paraId="2B653B74" w14:textId="77777777" w:rsidR="00125702" w:rsidRDefault="00000000">
            <w:r>
              <w:t>PCM honeycomb (3–5 mm) + CNT coating</w:t>
            </w:r>
          </w:p>
        </w:tc>
        <w:tc>
          <w:tcPr>
            <w:tcW w:w="2880" w:type="dxa"/>
          </w:tcPr>
          <w:p w14:paraId="65A6A210" w14:textId="77777777" w:rsidR="00125702" w:rsidRDefault="00000000">
            <w:r>
              <w:t>Latent heat storage and release; transient peak absorption</w:t>
            </w:r>
          </w:p>
        </w:tc>
      </w:tr>
      <w:tr w:rsidR="00125702" w14:paraId="28497983" w14:textId="77777777">
        <w:tc>
          <w:tcPr>
            <w:tcW w:w="2880" w:type="dxa"/>
          </w:tcPr>
          <w:p w14:paraId="6775E1F5" w14:textId="77777777" w:rsidR="00125702" w:rsidRDefault="00000000">
            <w:r>
              <w:t>4 — Exterior</w:t>
            </w:r>
          </w:p>
        </w:tc>
        <w:tc>
          <w:tcPr>
            <w:tcW w:w="2880" w:type="dxa"/>
          </w:tcPr>
          <w:p w14:paraId="306A6260" w14:textId="77777777" w:rsidR="00125702" w:rsidRDefault="00000000">
            <w:r>
              <w:t>Carbon fiber shell</w:t>
            </w:r>
          </w:p>
        </w:tc>
        <w:tc>
          <w:tcPr>
            <w:tcW w:w="2880" w:type="dxa"/>
          </w:tcPr>
          <w:p w14:paraId="7C4CC5B4" w14:textId="77777777" w:rsidR="00125702" w:rsidRDefault="00000000">
            <w:r>
              <w:t>Structural enclosure; passive heat rejection to ambient</w:t>
            </w:r>
          </w:p>
        </w:tc>
      </w:tr>
    </w:tbl>
    <w:p w14:paraId="25C75874" w14:textId="77777777" w:rsidR="00125702" w:rsidRDefault="00000000">
      <w:pPr>
        <w:pStyle w:val="Heading2"/>
      </w:pPr>
      <w:r>
        <w:t>3.2 Heat Path Diagram</w:t>
      </w:r>
    </w:p>
    <w:p w14:paraId="6B992704" w14:textId="77777777" w:rsidR="00125702" w:rsidRDefault="00000000">
      <w:pPr>
        <w:pStyle w:val="ListBullet"/>
      </w:pPr>
      <w:r>
        <w:t>During High-Power Operation (Heat In):</w:t>
      </w:r>
    </w:p>
    <w:p w14:paraId="6D7AAC3A" w14:textId="77777777" w:rsidR="00125702" w:rsidRDefault="00000000">
      <w:pPr>
        <w:pStyle w:val="ListBullet2"/>
      </w:pPr>
      <w:r>
        <w:t>QCL / MinION module generates heat → TEC pumps heat toward shell → heat flows through aluminum ribs → PCM honeycomb absorbs heat via CNT coating → PCM melts (solid → liquid) at 35–40°C → 60–80 kJ of latent heat stored → temperature rise arrested, TEC remains below saturation.</w:t>
      </w:r>
    </w:p>
    <w:p w14:paraId="162E1CF1" w14:textId="77777777" w:rsidR="00125702" w:rsidRDefault="00000000">
      <w:pPr>
        <w:pStyle w:val="ListBullet"/>
      </w:pPr>
      <w:r>
        <w:t>During Idle / Ground Period (Heat Out):</w:t>
      </w:r>
    </w:p>
    <w:p w14:paraId="02190460" w14:textId="77777777" w:rsidR="00125702" w:rsidRDefault="00000000">
      <w:pPr>
        <w:pStyle w:val="ListBullet2"/>
      </w:pPr>
      <w:r>
        <w:t>Ambient temperature drops below PCM melting point → PCM solidifies (liquid → solid) → releases stored latent heat → heat conducts through CNT coating → aluminum ribs → carbon fiber shell → radiates/convects to ambient → PCM recharged for next thermal peak.</w:t>
      </w:r>
    </w:p>
    <w:p w14:paraId="14C97A8B" w14:textId="77777777" w:rsidR="00125702" w:rsidRDefault="00000000">
      <w:pPr>
        <w:pStyle w:val="Heading1"/>
      </w:pPr>
      <w:r>
        <w:rPr>
          <w:color w:val="1F4E79"/>
        </w:rPr>
        <w:t>4. Time-Separated Heat Storage &amp; Rejection Over Mission Cycle</w:t>
      </w:r>
    </w:p>
    <w:p w14:paraId="106EEBA9" w14:textId="77777777" w:rsidR="00125702" w:rsidRDefault="00000000">
      <w:r>
        <w:t>The thermal management operates as a time-separated cycle with three distinct phases:</w:t>
      </w:r>
    </w:p>
    <w:tbl>
      <w:tblPr>
        <w:tblStyle w:val="TableGrid"/>
        <w:tblW w:w="0" w:type="auto"/>
        <w:tblLook w:val="04A0" w:firstRow="1" w:lastRow="0" w:firstColumn="1" w:lastColumn="0" w:noHBand="0" w:noVBand="1"/>
      </w:tblPr>
      <w:tblGrid>
        <w:gridCol w:w="2160"/>
        <w:gridCol w:w="2160"/>
        <w:gridCol w:w="2160"/>
        <w:gridCol w:w="2160"/>
      </w:tblGrid>
      <w:tr w:rsidR="00125702" w14:paraId="0D7490BB" w14:textId="77777777">
        <w:tc>
          <w:tcPr>
            <w:tcW w:w="2160" w:type="dxa"/>
            <w:shd w:val="clear" w:color="auto" w:fill="1F4E79"/>
          </w:tcPr>
          <w:p w14:paraId="0A536F9D" w14:textId="77777777" w:rsidR="00125702" w:rsidRDefault="00000000">
            <w:r>
              <w:rPr>
                <w:b/>
                <w:color w:val="FFFFFF"/>
              </w:rPr>
              <w:t>Phase</w:t>
            </w:r>
          </w:p>
        </w:tc>
        <w:tc>
          <w:tcPr>
            <w:tcW w:w="2160" w:type="dxa"/>
            <w:shd w:val="clear" w:color="auto" w:fill="1F4E79"/>
          </w:tcPr>
          <w:p w14:paraId="3DED9CDF" w14:textId="77777777" w:rsidR="00125702" w:rsidRDefault="00000000">
            <w:r>
              <w:rPr>
                <w:b/>
                <w:color w:val="FFFFFF"/>
              </w:rPr>
              <w:t>Condition</w:t>
            </w:r>
          </w:p>
        </w:tc>
        <w:tc>
          <w:tcPr>
            <w:tcW w:w="2160" w:type="dxa"/>
            <w:shd w:val="clear" w:color="auto" w:fill="1F4E79"/>
          </w:tcPr>
          <w:p w14:paraId="5FA7F1C0" w14:textId="77777777" w:rsidR="00125702" w:rsidRDefault="00000000">
            <w:r>
              <w:rPr>
                <w:b/>
                <w:color w:val="FFFFFF"/>
              </w:rPr>
              <w:t>PCM State</w:t>
            </w:r>
          </w:p>
        </w:tc>
        <w:tc>
          <w:tcPr>
            <w:tcW w:w="2160" w:type="dxa"/>
            <w:shd w:val="clear" w:color="auto" w:fill="1F4E79"/>
          </w:tcPr>
          <w:p w14:paraId="48F22B51" w14:textId="77777777" w:rsidR="00125702" w:rsidRDefault="00000000">
            <w:r>
              <w:rPr>
                <w:b/>
                <w:color w:val="FFFFFF"/>
              </w:rPr>
              <w:t>Thermal Action</w:t>
            </w:r>
          </w:p>
        </w:tc>
      </w:tr>
      <w:tr w:rsidR="00125702" w14:paraId="61C6505D" w14:textId="77777777">
        <w:tc>
          <w:tcPr>
            <w:tcW w:w="2160" w:type="dxa"/>
          </w:tcPr>
          <w:p w14:paraId="4BE1024A" w14:textId="77777777" w:rsidR="00125702" w:rsidRDefault="00000000">
            <w:r>
              <w:t>Peak Load</w:t>
            </w:r>
          </w:p>
        </w:tc>
        <w:tc>
          <w:tcPr>
            <w:tcW w:w="2160" w:type="dxa"/>
          </w:tcPr>
          <w:p w14:paraId="1221BF1B" w14:textId="77777777" w:rsidR="00125702" w:rsidRDefault="00000000">
            <w:r>
              <w:t>High-power operation (QCL spectroscopy, GPR pulses)</w:t>
            </w:r>
          </w:p>
        </w:tc>
        <w:tc>
          <w:tcPr>
            <w:tcW w:w="2160" w:type="dxa"/>
          </w:tcPr>
          <w:p w14:paraId="33AD29B4" w14:textId="77777777" w:rsidR="00125702" w:rsidRDefault="00000000">
            <w:r>
              <w:t>Melting (solid → liquid)</w:t>
            </w:r>
          </w:p>
        </w:tc>
        <w:tc>
          <w:tcPr>
            <w:tcW w:w="2160" w:type="dxa"/>
          </w:tcPr>
          <w:p w14:paraId="1525AF64" w14:textId="77777777" w:rsidR="00125702" w:rsidRDefault="00000000">
            <w:r>
              <w:t>Absorbs ~60–80 kJ; prevents TEC saturation</w:t>
            </w:r>
          </w:p>
        </w:tc>
      </w:tr>
      <w:tr w:rsidR="00125702" w14:paraId="614863C8" w14:textId="77777777">
        <w:tc>
          <w:tcPr>
            <w:tcW w:w="2160" w:type="dxa"/>
          </w:tcPr>
          <w:p w14:paraId="1005F31A" w14:textId="77777777" w:rsidR="00125702" w:rsidRDefault="00000000">
            <w:r>
              <w:t>Cruise / Idle</w:t>
            </w:r>
          </w:p>
        </w:tc>
        <w:tc>
          <w:tcPr>
            <w:tcW w:w="2160" w:type="dxa"/>
          </w:tcPr>
          <w:p w14:paraId="4F4BF4D3" w14:textId="77777777" w:rsidR="00125702" w:rsidRDefault="00000000">
            <w:r>
              <w:t>Reduced power; flight between operations</w:t>
            </w:r>
          </w:p>
        </w:tc>
        <w:tc>
          <w:tcPr>
            <w:tcW w:w="2160" w:type="dxa"/>
          </w:tcPr>
          <w:p w14:paraId="2FFC2E53" w14:textId="77777777" w:rsidR="00125702" w:rsidRDefault="00000000">
            <w:r>
              <w:t>Liquid (heat stored)</w:t>
            </w:r>
          </w:p>
        </w:tc>
        <w:tc>
          <w:tcPr>
            <w:tcW w:w="2160" w:type="dxa"/>
          </w:tcPr>
          <w:p w14:paraId="788A00AA" w14:textId="77777777" w:rsidR="00125702" w:rsidRDefault="00000000">
            <w:r>
              <w:t>Holds latent heat without power input; TEC operates normally</w:t>
            </w:r>
          </w:p>
        </w:tc>
      </w:tr>
      <w:tr w:rsidR="00125702" w14:paraId="529D00CF" w14:textId="77777777">
        <w:tc>
          <w:tcPr>
            <w:tcW w:w="2160" w:type="dxa"/>
          </w:tcPr>
          <w:p w14:paraId="3128CA65" w14:textId="77777777" w:rsidR="00125702" w:rsidRDefault="00000000">
            <w:r>
              <w:t>Ground / Low Load</w:t>
            </w:r>
          </w:p>
        </w:tc>
        <w:tc>
          <w:tcPr>
            <w:tcW w:w="2160" w:type="dxa"/>
          </w:tcPr>
          <w:p w14:paraId="04E95D43" w14:textId="77777777" w:rsidR="00125702" w:rsidRDefault="00000000">
            <w:r>
              <w:t>Post-mission; ambient cooling available</w:t>
            </w:r>
          </w:p>
        </w:tc>
        <w:tc>
          <w:tcPr>
            <w:tcW w:w="2160" w:type="dxa"/>
          </w:tcPr>
          <w:p w14:paraId="07AB7B48" w14:textId="77777777" w:rsidR="00125702" w:rsidRDefault="00000000">
            <w:r>
              <w:t>Solidifying (liquid → solid)</w:t>
            </w:r>
          </w:p>
        </w:tc>
        <w:tc>
          <w:tcPr>
            <w:tcW w:w="2160" w:type="dxa"/>
          </w:tcPr>
          <w:p w14:paraId="58A52583" w14:textId="77777777" w:rsidR="00125702" w:rsidRDefault="00000000">
            <w:r>
              <w:t>Releases stored heat to shell; PCM recharged for next cycle</w:t>
            </w:r>
          </w:p>
        </w:tc>
      </w:tr>
    </w:tbl>
    <w:p w14:paraId="6C34E674" w14:textId="77777777" w:rsidR="00125702" w:rsidRDefault="00125702"/>
    <w:p w14:paraId="4479E780" w14:textId="77777777" w:rsidR="00125702" w:rsidRDefault="00000000">
      <w:r>
        <w:rPr>
          <w:b/>
        </w:rPr>
        <w:t xml:space="preserve">Key insight: </w:t>
      </w:r>
      <w:r>
        <w:t>The thermal load is time-shifted from the peak operation period (when TEC is stressed) to the idle/ground period (when ambient cooling is available). This flattens the thermal profile and eliminates the need for oversized active cooling hardware.</w:t>
      </w:r>
    </w:p>
    <w:p w14:paraId="13B300FB" w14:textId="77777777" w:rsidR="00125702" w:rsidRDefault="00000000">
      <w:pPr>
        <w:pStyle w:val="Heading1"/>
      </w:pPr>
      <w:r>
        <w:rPr>
          <w:color w:val="1F4E79"/>
        </w:rPr>
        <w:t>5. Target Objects &amp; Thermal Requirements</w:t>
      </w:r>
    </w:p>
    <w:tbl>
      <w:tblPr>
        <w:tblStyle w:val="TableGrid"/>
        <w:tblW w:w="0" w:type="auto"/>
        <w:tblLook w:val="04A0" w:firstRow="1" w:lastRow="0" w:firstColumn="1" w:lastColumn="0" w:noHBand="0" w:noVBand="1"/>
      </w:tblPr>
      <w:tblGrid>
        <w:gridCol w:w="2880"/>
        <w:gridCol w:w="2880"/>
        <w:gridCol w:w="2880"/>
      </w:tblGrid>
      <w:tr w:rsidR="00125702" w14:paraId="2A0E16E2" w14:textId="77777777">
        <w:tc>
          <w:tcPr>
            <w:tcW w:w="2880" w:type="dxa"/>
            <w:shd w:val="clear" w:color="auto" w:fill="1F4E79"/>
          </w:tcPr>
          <w:p w14:paraId="55394ABD" w14:textId="77777777" w:rsidR="00125702" w:rsidRDefault="00000000">
            <w:r>
              <w:rPr>
                <w:b/>
                <w:color w:val="FFFFFF"/>
              </w:rPr>
              <w:t>Target Object</w:t>
            </w:r>
          </w:p>
        </w:tc>
        <w:tc>
          <w:tcPr>
            <w:tcW w:w="2880" w:type="dxa"/>
            <w:shd w:val="clear" w:color="auto" w:fill="1F4E79"/>
          </w:tcPr>
          <w:p w14:paraId="11F51F49" w14:textId="77777777" w:rsidR="00125702" w:rsidRDefault="00000000">
            <w:r>
              <w:rPr>
                <w:b/>
                <w:color w:val="FFFFFF"/>
              </w:rPr>
              <w:t>Operation</w:t>
            </w:r>
          </w:p>
        </w:tc>
        <w:tc>
          <w:tcPr>
            <w:tcW w:w="2880" w:type="dxa"/>
            <w:shd w:val="clear" w:color="auto" w:fill="1F4E79"/>
          </w:tcPr>
          <w:p w14:paraId="03BDF935" w14:textId="77777777" w:rsidR="00125702" w:rsidRDefault="00000000">
            <w:r>
              <w:rPr>
                <w:b/>
                <w:color w:val="FFFFFF"/>
              </w:rPr>
              <w:t>Thermal Requirement</w:t>
            </w:r>
          </w:p>
        </w:tc>
      </w:tr>
      <w:tr w:rsidR="00125702" w14:paraId="43347537" w14:textId="77777777">
        <w:tc>
          <w:tcPr>
            <w:tcW w:w="2880" w:type="dxa"/>
          </w:tcPr>
          <w:p w14:paraId="7990B184" w14:textId="77777777" w:rsidR="00125702" w:rsidRDefault="00000000">
            <w:r>
              <w:t>QCL Spectroscopy</w:t>
            </w:r>
          </w:p>
        </w:tc>
        <w:tc>
          <w:tcPr>
            <w:tcW w:w="2880" w:type="dxa"/>
          </w:tcPr>
          <w:p w14:paraId="3EF717DA" w14:textId="77777777" w:rsidR="00125702" w:rsidRDefault="00000000">
            <w:r>
              <w:t>High-power laser emission</w:t>
            </w:r>
          </w:p>
        </w:tc>
        <w:tc>
          <w:tcPr>
            <w:tcW w:w="2880" w:type="dxa"/>
          </w:tcPr>
          <w:p w14:paraId="285AECA0" w14:textId="77777777" w:rsidR="00125702" w:rsidRDefault="00000000">
            <w:r>
              <w:t>Maintain within operating temperature limits; prevent wavelength drift</w:t>
            </w:r>
          </w:p>
        </w:tc>
      </w:tr>
      <w:tr w:rsidR="00125702" w14:paraId="083DE19F" w14:textId="77777777">
        <w:tc>
          <w:tcPr>
            <w:tcW w:w="2880" w:type="dxa"/>
          </w:tcPr>
          <w:p w14:paraId="4E819692" w14:textId="77777777" w:rsidR="00125702" w:rsidRDefault="00000000">
            <w:r>
              <w:t>GPR Pulses</w:t>
            </w:r>
          </w:p>
        </w:tc>
        <w:tc>
          <w:tcPr>
            <w:tcW w:w="2880" w:type="dxa"/>
          </w:tcPr>
          <w:p w14:paraId="5C7A45D7" w14:textId="77777777" w:rsidR="00125702" w:rsidRDefault="00000000">
            <w:r>
              <w:t>High-power radar transmission</w:t>
            </w:r>
          </w:p>
        </w:tc>
        <w:tc>
          <w:tcPr>
            <w:tcW w:w="2880" w:type="dxa"/>
          </w:tcPr>
          <w:p w14:paraId="59D62B09" w14:textId="77777777" w:rsidR="00125702" w:rsidRDefault="00000000">
            <w:r>
              <w:t>Prevent thermal damage to RF front-end; maintain pulse fidelity</w:t>
            </w:r>
          </w:p>
        </w:tc>
      </w:tr>
      <w:tr w:rsidR="00125702" w14:paraId="07E44105" w14:textId="77777777">
        <w:tc>
          <w:tcPr>
            <w:tcW w:w="2880" w:type="dxa"/>
          </w:tcPr>
          <w:p w14:paraId="49055313" w14:textId="77777777" w:rsidR="00125702" w:rsidRDefault="00000000">
            <w:r>
              <w:t>MinION Module</w:t>
            </w:r>
          </w:p>
        </w:tc>
        <w:tc>
          <w:tcPr>
            <w:tcW w:w="2880" w:type="dxa"/>
          </w:tcPr>
          <w:p w14:paraId="6C50D039" w14:textId="77777777" w:rsidR="00125702" w:rsidRDefault="00000000">
            <w:r>
              <w:t>Continuous sequencing operation</w:t>
            </w:r>
          </w:p>
        </w:tc>
        <w:tc>
          <w:tcPr>
            <w:tcW w:w="2880" w:type="dxa"/>
          </w:tcPr>
          <w:p w14:paraId="7351101E" w14:textId="77777777" w:rsidR="00125702" w:rsidRDefault="00000000">
            <w:r>
              <w:t>Stable temperature for enzymatic reaction kinetics</w:t>
            </w:r>
          </w:p>
        </w:tc>
      </w:tr>
    </w:tbl>
    <w:p w14:paraId="5A9F0281" w14:textId="77777777" w:rsidR="00125702" w:rsidRDefault="00000000">
      <w:pPr>
        <w:pStyle w:val="Heading1"/>
      </w:pPr>
      <w:r>
        <w:rPr>
          <w:color w:val="1F4E79"/>
        </w:rPr>
        <w:t>6. System Advantages &amp; Design Constraints</w:t>
      </w:r>
    </w:p>
    <w:p w14:paraId="212FF6B7" w14:textId="77777777" w:rsidR="00125702" w:rsidRDefault="00000000">
      <w:pPr>
        <w:pStyle w:val="Heading2"/>
      </w:pPr>
      <w:r>
        <w:t>6.1 Advantages</w:t>
      </w:r>
    </w:p>
    <w:tbl>
      <w:tblPr>
        <w:tblStyle w:val="TableGrid"/>
        <w:tblW w:w="0" w:type="auto"/>
        <w:tblLook w:val="04A0" w:firstRow="1" w:lastRow="0" w:firstColumn="1" w:lastColumn="0" w:noHBand="0" w:noVBand="1"/>
      </w:tblPr>
      <w:tblGrid>
        <w:gridCol w:w="4320"/>
        <w:gridCol w:w="4320"/>
      </w:tblGrid>
      <w:tr w:rsidR="00125702" w14:paraId="0F03FD09" w14:textId="77777777">
        <w:tc>
          <w:tcPr>
            <w:tcW w:w="4320" w:type="dxa"/>
            <w:shd w:val="clear" w:color="auto" w:fill="1F4E79"/>
          </w:tcPr>
          <w:p w14:paraId="48189AE1" w14:textId="77777777" w:rsidR="00125702" w:rsidRDefault="00000000">
            <w:r>
              <w:rPr>
                <w:b/>
                <w:color w:val="FFFFFF"/>
              </w:rPr>
              <w:t>Advantage</w:t>
            </w:r>
          </w:p>
        </w:tc>
        <w:tc>
          <w:tcPr>
            <w:tcW w:w="4320" w:type="dxa"/>
            <w:shd w:val="clear" w:color="auto" w:fill="1F4E79"/>
          </w:tcPr>
          <w:p w14:paraId="72FA7FC1" w14:textId="77777777" w:rsidR="00125702" w:rsidRDefault="00000000">
            <w:r>
              <w:rPr>
                <w:b/>
                <w:color w:val="FFFFFF"/>
              </w:rPr>
              <w:t>Description</w:t>
            </w:r>
          </w:p>
        </w:tc>
      </w:tr>
      <w:tr w:rsidR="00125702" w14:paraId="0285C89A" w14:textId="77777777">
        <w:tc>
          <w:tcPr>
            <w:tcW w:w="4320" w:type="dxa"/>
          </w:tcPr>
          <w:p w14:paraId="270F07BB" w14:textId="77777777" w:rsidR="00125702" w:rsidRDefault="00000000">
            <w:r>
              <w:t>No Active Cooling Hardware</w:t>
            </w:r>
          </w:p>
        </w:tc>
        <w:tc>
          <w:tcPr>
            <w:tcW w:w="4320" w:type="dxa"/>
          </w:tcPr>
          <w:p w14:paraId="06A85306" w14:textId="77777777" w:rsidR="00125702" w:rsidRDefault="00000000">
            <w:r>
              <w:t>Eliminates fans, pumps, or liquid cooling systems — reduces complexity, mass, and failure modes</w:t>
            </w:r>
          </w:p>
        </w:tc>
      </w:tr>
      <w:tr w:rsidR="00125702" w14:paraId="695E8B60" w14:textId="77777777">
        <w:tc>
          <w:tcPr>
            <w:tcW w:w="4320" w:type="dxa"/>
          </w:tcPr>
          <w:p w14:paraId="616D70FE" w14:textId="77777777" w:rsidR="00125702" w:rsidRDefault="00000000">
            <w:r>
              <w:t>No Power Budget Increase</w:t>
            </w:r>
          </w:p>
        </w:tc>
        <w:tc>
          <w:tcPr>
            <w:tcW w:w="4320" w:type="dxa"/>
          </w:tcPr>
          <w:p w14:paraId="3E94B131" w14:textId="77777777" w:rsidR="00125702" w:rsidRDefault="00000000">
            <w:r>
              <w:t>PCM operates passively; no electrical power required for thermal buffering</w:t>
            </w:r>
          </w:p>
        </w:tc>
      </w:tr>
      <w:tr w:rsidR="00125702" w14:paraId="79CF1758" w14:textId="77777777">
        <w:tc>
          <w:tcPr>
            <w:tcW w:w="4320" w:type="dxa"/>
          </w:tcPr>
          <w:p w14:paraId="6B15D543" w14:textId="77777777" w:rsidR="00125702" w:rsidRDefault="00000000">
            <w:r>
              <w:t>Maintains IP54 Seal</w:t>
            </w:r>
          </w:p>
        </w:tc>
        <w:tc>
          <w:tcPr>
            <w:tcW w:w="4320" w:type="dxa"/>
          </w:tcPr>
          <w:p w14:paraId="3FA3610D" w14:textId="77777777" w:rsidR="00125702" w:rsidRDefault="00000000">
            <w:r>
              <w:t>All thermal management occurs within the sealed enclosure; no openings for dust/moisture ingress</w:t>
            </w:r>
          </w:p>
        </w:tc>
      </w:tr>
      <w:tr w:rsidR="00125702" w14:paraId="77405076" w14:textId="77777777">
        <w:tc>
          <w:tcPr>
            <w:tcW w:w="4320" w:type="dxa"/>
          </w:tcPr>
          <w:p w14:paraId="18BF9331" w14:textId="77777777" w:rsidR="00125702" w:rsidRDefault="00000000">
            <w:r>
              <w:t>Integrates with Existing Ribs</w:t>
            </w:r>
          </w:p>
        </w:tc>
        <w:tc>
          <w:tcPr>
            <w:tcW w:w="4320" w:type="dxa"/>
          </w:tcPr>
          <w:p w14:paraId="087E7AF9" w14:textId="77777777" w:rsidR="00125702" w:rsidRDefault="00000000">
            <w:r>
              <w:t>PCM bonds directly to aluminum structural ribs; no additional structural elements needed</w:t>
            </w:r>
          </w:p>
        </w:tc>
      </w:tr>
    </w:tbl>
    <w:p w14:paraId="795BACEF" w14:textId="77777777" w:rsidR="00125702" w:rsidRDefault="00000000">
      <w:pPr>
        <w:pStyle w:val="Heading2"/>
      </w:pPr>
      <w:r>
        <w:t>6.2 Design Constraints</w:t>
      </w:r>
    </w:p>
    <w:tbl>
      <w:tblPr>
        <w:tblStyle w:val="TableGrid"/>
        <w:tblW w:w="0" w:type="auto"/>
        <w:tblLook w:val="04A0" w:firstRow="1" w:lastRow="0" w:firstColumn="1" w:lastColumn="0" w:noHBand="0" w:noVBand="1"/>
      </w:tblPr>
      <w:tblGrid>
        <w:gridCol w:w="4320"/>
        <w:gridCol w:w="4320"/>
      </w:tblGrid>
      <w:tr w:rsidR="00125702" w14:paraId="06397FA6" w14:textId="77777777">
        <w:tc>
          <w:tcPr>
            <w:tcW w:w="4320" w:type="dxa"/>
            <w:shd w:val="clear" w:color="auto" w:fill="1F4E79"/>
          </w:tcPr>
          <w:p w14:paraId="4D064695" w14:textId="77777777" w:rsidR="00125702" w:rsidRDefault="00000000">
            <w:r>
              <w:rPr>
                <w:b/>
                <w:color w:val="FFFFFF"/>
              </w:rPr>
              <w:t>Constraint</w:t>
            </w:r>
          </w:p>
        </w:tc>
        <w:tc>
          <w:tcPr>
            <w:tcW w:w="4320" w:type="dxa"/>
            <w:shd w:val="clear" w:color="auto" w:fill="1F4E79"/>
          </w:tcPr>
          <w:p w14:paraId="04CEA26A" w14:textId="77777777" w:rsidR="00125702" w:rsidRDefault="00000000">
            <w:r>
              <w:rPr>
                <w:b/>
                <w:color w:val="FFFFFF"/>
              </w:rPr>
              <w:t>Requirement</w:t>
            </w:r>
          </w:p>
        </w:tc>
      </w:tr>
      <w:tr w:rsidR="00125702" w14:paraId="22CAC5E7" w14:textId="77777777">
        <w:tc>
          <w:tcPr>
            <w:tcW w:w="4320" w:type="dxa"/>
          </w:tcPr>
          <w:p w14:paraId="66E2AD30" w14:textId="77777777" w:rsidR="00125702" w:rsidRDefault="00000000">
            <w:r>
              <w:t>Added Mass</w:t>
            </w:r>
          </w:p>
        </w:tc>
        <w:tc>
          <w:tcPr>
            <w:tcW w:w="4320" w:type="dxa"/>
          </w:tcPr>
          <w:p w14:paraId="211AF8E2" w14:textId="77777777" w:rsidR="00125702" w:rsidRDefault="00000000">
            <w:r>
              <w:t>&lt; 0.5 kg (PCM layer only)</w:t>
            </w:r>
          </w:p>
        </w:tc>
      </w:tr>
      <w:tr w:rsidR="00125702" w14:paraId="6C489822" w14:textId="77777777">
        <w:tc>
          <w:tcPr>
            <w:tcW w:w="4320" w:type="dxa"/>
          </w:tcPr>
          <w:p w14:paraId="5816F38D" w14:textId="77777777" w:rsidR="00125702" w:rsidRDefault="00000000">
            <w:r>
              <w:t>Field Service Time</w:t>
            </w:r>
          </w:p>
        </w:tc>
        <w:tc>
          <w:tcPr>
            <w:tcW w:w="4320" w:type="dxa"/>
          </w:tcPr>
          <w:p w14:paraId="038A50C0" w14:textId="77777777" w:rsidR="00125702" w:rsidRDefault="00000000">
            <w:r>
              <w:t>&lt; 5 min for PCM access and replacement</w:t>
            </w:r>
          </w:p>
        </w:tc>
      </w:tr>
      <w:tr w:rsidR="00125702" w14:paraId="01F071F5" w14:textId="77777777">
        <w:tc>
          <w:tcPr>
            <w:tcW w:w="4320" w:type="dxa"/>
          </w:tcPr>
          <w:p w14:paraId="38014E02" w14:textId="77777777" w:rsidR="00125702" w:rsidRDefault="00000000">
            <w:r>
              <w:t>PCM Recharge Time</w:t>
            </w:r>
          </w:p>
        </w:tc>
        <w:tc>
          <w:tcPr>
            <w:tcW w:w="4320" w:type="dxa"/>
          </w:tcPr>
          <w:p w14:paraId="251A6DBB" w14:textId="77777777" w:rsidR="00125702" w:rsidRDefault="00000000">
            <w:r>
              <w:t>Must solidify fully between peak load cycles</w:t>
            </w:r>
          </w:p>
        </w:tc>
      </w:tr>
    </w:tbl>
    <w:p w14:paraId="00508160" w14:textId="77777777" w:rsidR="00125702" w:rsidRDefault="00000000">
      <w:pPr>
        <w:pStyle w:val="Heading1"/>
      </w:pPr>
      <w:r>
        <w:rPr>
          <w:color w:val="1F4E79"/>
        </w:rPr>
        <w:t>7. TRIZ / Systematic Innovation Principles</w:t>
      </w:r>
    </w:p>
    <w:p w14:paraId="2B7FEA4A" w14:textId="77777777" w:rsidR="00125702" w:rsidRDefault="00000000">
      <w:r>
        <w:t>The physical contradiction addressed: the thermal management system must simultaneously absorb heat rapidly (high thermal mass) and reject heat rapidly (high thermal conductivity), but these properties are typically inversely related in passive systems.</w:t>
      </w:r>
    </w:p>
    <w:p w14:paraId="654BDC03" w14:textId="77777777" w:rsidR="00125702" w:rsidRDefault="00000000">
      <w:pPr>
        <w:pStyle w:val="Heading2"/>
      </w:pPr>
      <w:r>
        <w:t>7.1 Principle #35 — Parameter Changes</w:t>
      </w:r>
    </w:p>
    <w:p w14:paraId="2A444572" w14:textId="77777777" w:rsidR="00125702" w:rsidRDefault="00000000">
      <w:r>
        <w:t>The system changes the thermal parameter from "constant material properties" to "phase-dependent properties." The PCM has low effective thermal conductivity in the solid state (good for insulation) and high latent heat capacity during phase change (good for energy storage). The CNT coating adds a separate high-conductivity parameter (5–8 W/mK) to the PCM surface, decoupling the storage and conduction functions.</w:t>
      </w:r>
    </w:p>
    <w:p w14:paraId="1828DE8A" w14:textId="77777777" w:rsidR="00125702" w:rsidRDefault="00000000">
      <w:pPr>
        <w:pStyle w:val="Heading2"/>
      </w:pPr>
      <w:r>
        <w:t>7.2 Principle #10 — Prior Action</w:t>
      </w:r>
    </w:p>
    <w:p w14:paraId="72EE097B" w14:textId="77777777" w:rsidR="00125702" w:rsidRDefault="00000000">
      <w:r>
        <w:t>The PCM buffer performs a "prior action" by pre-conditioning the thermal environment. Before the high-power operation begins, the PCM is in a solid state at ambient temperature, ready to absorb heat. The thermal capacity is "pre-loaded" into the system as a solid-state reservoir, eliminating the need for real-time active cooling during the thermal peak.</w:t>
      </w:r>
    </w:p>
    <w:p w14:paraId="30EE9A1D" w14:textId="77777777" w:rsidR="00125702" w:rsidRDefault="00000000">
      <w:pPr>
        <w:pStyle w:val="Heading2"/>
      </w:pPr>
      <w:r>
        <w:t>7.3 Time Separation</w:t>
      </w:r>
    </w:p>
    <w:p w14:paraId="4C9B09B3" w14:textId="77777777" w:rsidR="00125702" w:rsidRDefault="00000000">
      <w:r>
        <w:t>The contradiction is resolved by separating the opposing requirements in time:</w:t>
      </w:r>
    </w:p>
    <w:p w14:paraId="72CFF696" w14:textId="77777777" w:rsidR="00125702" w:rsidRDefault="00000000">
      <w:pPr>
        <w:pStyle w:val="ListBullet"/>
      </w:pPr>
      <w:r>
        <w:t>Heat absorption occurs during peak load (PCM melts).</w:t>
      </w:r>
    </w:p>
    <w:p w14:paraId="2F33BB2D" w14:textId="77777777" w:rsidR="00125702" w:rsidRDefault="00000000">
      <w:pPr>
        <w:pStyle w:val="ListBullet"/>
      </w:pPr>
      <w:r>
        <w:t>Heat rejection occurs during idle/ground (PCM solidifies).</w:t>
      </w:r>
    </w:p>
    <w:p w14:paraId="6EA0695D" w14:textId="77777777" w:rsidR="00125702" w:rsidRDefault="00000000">
      <w:r>
        <w:t>Each function is optimized for its time window without compromising the other.</w:t>
      </w:r>
    </w:p>
    <w:p w14:paraId="1AF70195" w14:textId="77777777" w:rsidR="00125702" w:rsidRDefault="00000000">
      <w:pPr>
        <w:pStyle w:val="Heading1"/>
      </w:pPr>
      <w:r>
        <w:rPr>
          <w:color w:val="1F4E79"/>
        </w:rPr>
        <w:t>8. Bottleneck Solved</w:t>
      </w:r>
    </w:p>
    <w:p w14:paraId="11048115" w14:textId="77777777" w:rsidR="00125702" w:rsidRDefault="00000000">
      <w:r>
        <w:t>The PCM thermal buffer resolves the following critical bottlenecks:</w:t>
      </w:r>
    </w:p>
    <w:p w14:paraId="74D8AED5" w14:textId="77777777" w:rsidR="00125702" w:rsidRDefault="00000000">
      <w:pPr>
        <w:pStyle w:val="ListBullet"/>
      </w:pPr>
      <w:r>
        <w:t>TEC Saturation Eliminated</w:t>
      </w:r>
    </w:p>
    <w:p w14:paraId="37B82807" w14:textId="77777777" w:rsidR="00125702" w:rsidRDefault="00000000">
      <w:pPr>
        <w:pStyle w:val="ListBullet2"/>
      </w:pPr>
      <w:r>
        <w:t>The PCM absorbs 60–80 kJ of transient heat, preventing the TEC from reaching its maximum pumping capacity. The TEC operates within its linear region throughout the mission cycle.</w:t>
      </w:r>
    </w:p>
    <w:p w14:paraId="2EE457C1" w14:textId="77777777" w:rsidR="00125702" w:rsidRDefault="00000000">
      <w:pPr>
        <w:pStyle w:val="ListBullet"/>
      </w:pPr>
      <w:r>
        <w:t>Temperature Spikes Flattened</w:t>
      </w:r>
    </w:p>
    <w:p w14:paraId="09075E55" w14:textId="77777777" w:rsidR="00125702" w:rsidRDefault="00000000">
      <w:pPr>
        <w:pStyle w:val="ListBullet2"/>
      </w:pPr>
      <w:r>
        <w:t>The latent heat of fusion acts as a thermal "capacitor," smoothing the thermal profile from sharp peaks to a gradual rise and fall. Sensor temperature remains within operating limits during all mission phases.</w:t>
      </w:r>
    </w:p>
    <w:p w14:paraId="7ABAA6D6" w14:textId="77777777" w:rsidR="00125702" w:rsidRDefault="00000000">
      <w:pPr>
        <w:pStyle w:val="ListBullet"/>
      </w:pPr>
      <w:r>
        <w:t>Active Cooling Hardware Eliminated</w:t>
      </w:r>
    </w:p>
    <w:p w14:paraId="659F5647" w14:textId="77777777" w:rsidR="00125702" w:rsidRDefault="00000000">
      <w:pPr>
        <w:pStyle w:val="ListBullet2"/>
      </w:pPr>
      <w:r>
        <w:t>No fans, pumps, or liquid cooling are required. The passive PCM system reduces part count, mass, power consumption, and maintenance requirements.</w:t>
      </w:r>
    </w:p>
    <w:p w14:paraId="2CBDC96C" w14:textId="77777777" w:rsidR="00125702" w:rsidRDefault="00000000">
      <w:pPr>
        <w:pStyle w:val="ListBullet"/>
      </w:pPr>
      <w:r>
        <w:t>IP54 Seal Preserved</w:t>
      </w:r>
    </w:p>
    <w:p w14:paraId="07E4EFBB" w14:textId="77777777" w:rsidR="00125702" w:rsidRDefault="00000000">
      <w:pPr>
        <w:pStyle w:val="ListBullet2"/>
      </w:pPr>
      <w:r>
        <w:t>All thermal management occurs within the sealed enclosure. The carbon fiber shell remains a continuous barrier against dust and moisture ingress.</w:t>
      </w:r>
    </w:p>
    <w:p w14:paraId="74CD94F3" w14:textId="77777777" w:rsidR="00125702"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125702" w14:paraId="3CE2177D" w14:textId="77777777">
        <w:tc>
          <w:tcPr>
            <w:tcW w:w="2880" w:type="dxa"/>
            <w:shd w:val="clear" w:color="auto" w:fill="1F4E79"/>
          </w:tcPr>
          <w:p w14:paraId="0DD81B14" w14:textId="77777777" w:rsidR="00125702" w:rsidRDefault="00000000">
            <w:r>
              <w:rPr>
                <w:b/>
                <w:color w:val="FFFFFF"/>
              </w:rPr>
              <w:t>Validation Item</w:t>
            </w:r>
          </w:p>
        </w:tc>
        <w:tc>
          <w:tcPr>
            <w:tcW w:w="2880" w:type="dxa"/>
            <w:shd w:val="clear" w:color="auto" w:fill="1F4E79"/>
          </w:tcPr>
          <w:p w14:paraId="369377DA" w14:textId="77777777" w:rsidR="00125702" w:rsidRDefault="00000000">
            <w:r>
              <w:rPr>
                <w:b/>
                <w:color w:val="FFFFFF"/>
              </w:rPr>
              <w:t>Parameter Window</w:t>
            </w:r>
          </w:p>
        </w:tc>
        <w:tc>
          <w:tcPr>
            <w:tcW w:w="2880" w:type="dxa"/>
            <w:shd w:val="clear" w:color="auto" w:fill="1F4E79"/>
          </w:tcPr>
          <w:p w14:paraId="5269B8C4" w14:textId="77777777" w:rsidR="00125702" w:rsidRDefault="00000000">
            <w:r>
              <w:rPr>
                <w:b/>
                <w:color w:val="FFFFFF"/>
              </w:rPr>
              <w:t>Verification Method</w:t>
            </w:r>
          </w:p>
        </w:tc>
      </w:tr>
      <w:tr w:rsidR="00125702" w14:paraId="32A7FF6A" w14:textId="77777777">
        <w:tc>
          <w:tcPr>
            <w:tcW w:w="2880" w:type="dxa"/>
          </w:tcPr>
          <w:p w14:paraId="48ABD98C" w14:textId="77777777" w:rsidR="00125702" w:rsidRDefault="00000000">
            <w:r>
              <w:t>PCM Thickness</w:t>
            </w:r>
          </w:p>
        </w:tc>
        <w:tc>
          <w:tcPr>
            <w:tcW w:w="2880" w:type="dxa"/>
          </w:tcPr>
          <w:p w14:paraId="03C5A01D" w14:textId="77777777" w:rsidR="00125702" w:rsidRDefault="00000000">
            <w:r>
              <w:t>3–5 mm</w:t>
            </w:r>
          </w:p>
        </w:tc>
        <w:tc>
          <w:tcPr>
            <w:tcW w:w="2880" w:type="dxa"/>
          </w:tcPr>
          <w:p w14:paraId="4F9C1A41" w14:textId="77777777" w:rsidR="00125702" w:rsidRDefault="00000000">
            <w:r>
              <w:t>CMM measurement; verify uniform bonding to ribs</w:t>
            </w:r>
          </w:p>
        </w:tc>
      </w:tr>
      <w:tr w:rsidR="00125702" w14:paraId="67A3D6D3" w14:textId="77777777">
        <w:tc>
          <w:tcPr>
            <w:tcW w:w="2880" w:type="dxa"/>
          </w:tcPr>
          <w:p w14:paraId="71FE4A24" w14:textId="77777777" w:rsidR="00125702" w:rsidRDefault="00000000">
            <w:r>
              <w:t>PCM Mass</w:t>
            </w:r>
          </w:p>
        </w:tc>
        <w:tc>
          <w:tcPr>
            <w:tcW w:w="2880" w:type="dxa"/>
          </w:tcPr>
          <w:p w14:paraId="436F2F9A" w14:textId="77777777" w:rsidR="00125702" w:rsidRDefault="00000000">
            <w:r>
              <w:t>~0.3–0.5 kg</w:t>
            </w:r>
          </w:p>
        </w:tc>
        <w:tc>
          <w:tcPr>
            <w:tcW w:w="2880" w:type="dxa"/>
          </w:tcPr>
          <w:p w14:paraId="1B820FC6" w14:textId="77777777" w:rsidR="00125702" w:rsidRDefault="00000000">
            <w:r>
              <w:t>Weighing; confirm within pod mass budget</w:t>
            </w:r>
          </w:p>
        </w:tc>
      </w:tr>
      <w:tr w:rsidR="00125702" w14:paraId="6ECC905F" w14:textId="77777777">
        <w:tc>
          <w:tcPr>
            <w:tcW w:w="2880" w:type="dxa"/>
          </w:tcPr>
          <w:p w14:paraId="137549D3" w14:textId="77777777" w:rsidR="00125702" w:rsidRDefault="00000000">
            <w:r>
              <w:t>Thermal Conductivity (CNT coating)</w:t>
            </w:r>
          </w:p>
        </w:tc>
        <w:tc>
          <w:tcPr>
            <w:tcW w:w="2880" w:type="dxa"/>
          </w:tcPr>
          <w:p w14:paraId="159DF015" w14:textId="77777777" w:rsidR="00125702" w:rsidRDefault="00000000">
            <w:r>
              <w:t>5–8 W/mK</w:t>
            </w:r>
          </w:p>
        </w:tc>
        <w:tc>
          <w:tcPr>
            <w:tcW w:w="2880" w:type="dxa"/>
          </w:tcPr>
          <w:p w14:paraId="67101398" w14:textId="77777777" w:rsidR="00125702" w:rsidRDefault="00000000">
            <w:r>
              <w:t>Guarded hot plate or laser flash analysis</w:t>
            </w:r>
          </w:p>
        </w:tc>
      </w:tr>
      <w:tr w:rsidR="00125702" w14:paraId="1F7137CC" w14:textId="77777777">
        <w:tc>
          <w:tcPr>
            <w:tcW w:w="2880" w:type="dxa"/>
          </w:tcPr>
          <w:p w14:paraId="38CB8AC4" w14:textId="77777777" w:rsidR="00125702" w:rsidRDefault="00000000">
            <w:r>
              <w:t>Heat Capacity per Cycle</w:t>
            </w:r>
          </w:p>
        </w:tc>
        <w:tc>
          <w:tcPr>
            <w:tcW w:w="2880" w:type="dxa"/>
          </w:tcPr>
          <w:p w14:paraId="73975D96" w14:textId="77777777" w:rsidR="00125702" w:rsidRDefault="00000000">
            <w:r>
              <w:t>~60–80 kJ</w:t>
            </w:r>
          </w:p>
        </w:tc>
        <w:tc>
          <w:tcPr>
            <w:tcW w:w="2880" w:type="dxa"/>
          </w:tcPr>
          <w:p w14:paraId="10EE4246" w14:textId="77777777" w:rsidR="00125702" w:rsidRDefault="00000000">
            <w:r>
              <w:t>Differential scanning calorimetry (DSC); thermal cycling test</w:t>
            </w:r>
          </w:p>
        </w:tc>
      </w:tr>
      <w:tr w:rsidR="00125702" w14:paraId="590C6192" w14:textId="77777777">
        <w:tc>
          <w:tcPr>
            <w:tcW w:w="2880" w:type="dxa"/>
          </w:tcPr>
          <w:p w14:paraId="557641B5" w14:textId="77777777" w:rsidR="00125702" w:rsidRDefault="00000000">
            <w:r>
              <w:t>Field Service Time</w:t>
            </w:r>
          </w:p>
        </w:tc>
        <w:tc>
          <w:tcPr>
            <w:tcW w:w="2880" w:type="dxa"/>
          </w:tcPr>
          <w:p w14:paraId="34C3AA3A" w14:textId="77777777" w:rsidR="00125702" w:rsidRDefault="00000000">
            <w:r>
              <w:t>&lt; 5 min</w:t>
            </w:r>
          </w:p>
        </w:tc>
        <w:tc>
          <w:tcPr>
            <w:tcW w:w="2880" w:type="dxa"/>
          </w:tcPr>
          <w:p w14:paraId="51663502" w14:textId="77777777" w:rsidR="00125702" w:rsidRDefault="00000000">
            <w:r>
              <w:t>Time-motion study; verify PCM panel removal/replacement</w:t>
            </w:r>
          </w:p>
        </w:tc>
      </w:tr>
      <w:tr w:rsidR="00125702" w14:paraId="117CE58F" w14:textId="77777777">
        <w:tc>
          <w:tcPr>
            <w:tcW w:w="2880" w:type="dxa"/>
          </w:tcPr>
          <w:p w14:paraId="4B0801B1" w14:textId="77777777" w:rsidR="00125702" w:rsidRDefault="00000000">
            <w:r>
              <w:t>IP54 Sealed Performance</w:t>
            </w:r>
          </w:p>
        </w:tc>
        <w:tc>
          <w:tcPr>
            <w:tcW w:w="2880" w:type="dxa"/>
          </w:tcPr>
          <w:p w14:paraId="0D35D379" w14:textId="77777777" w:rsidR="00125702" w:rsidRDefault="00000000">
            <w:r>
              <w:t>Post-integration</w:t>
            </w:r>
          </w:p>
        </w:tc>
        <w:tc>
          <w:tcPr>
            <w:tcW w:w="2880" w:type="dxa"/>
          </w:tcPr>
          <w:p w14:paraId="64FE7935" w14:textId="77777777" w:rsidR="00125702" w:rsidRDefault="00000000">
            <w:r>
              <w:t>Dust ingress + water spray testing per IEC 60529</w:t>
            </w:r>
          </w:p>
        </w:tc>
      </w:tr>
    </w:tbl>
    <w:p w14:paraId="7F7F69B9" w14:textId="77777777" w:rsidR="00125702" w:rsidRDefault="00000000">
      <w:pPr>
        <w:pStyle w:val="Heading1"/>
      </w:pPr>
      <w:r>
        <w:rPr>
          <w:color w:val="1F4E79"/>
        </w:rPr>
        <w:t>10. References</w:t>
      </w:r>
    </w:p>
    <w:p w14:paraId="5607E90C" w14:textId="77777777" w:rsidR="00125702" w:rsidRDefault="00000000">
      <w:pPr>
        <w:pStyle w:val="ListNumber"/>
      </w:pPr>
      <w:r>
        <w:t>[1] Patent/Citation — Heat dissipation plate and wind turbine generator converter (PCM thermal management reference)</w:t>
      </w:r>
    </w:p>
    <w:p w14:paraId="08846188" w14:textId="77777777" w:rsidR="00125702" w:rsidRDefault="00000000">
      <w:pPr>
        <w:pStyle w:val="ListNumber"/>
      </w:pPr>
      <w:r>
        <w:t>[2] Altshuller, G. — TRIZ: 40 Principles of Inventive Problem Solving (Principle #10: Prior Action; Principle #35: Parameter Changes)</w:t>
      </w:r>
    </w:p>
    <w:p w14:paraId="599E4EA9" w14:textId="77777777" w:rsidR="00125702" w:rsidRDefault="00000000">
      <w:pPr>
        <w:pStyle w:val="ListNumber"/>
      </w:pPr>
      <w:r>
        <w:t>[3] IEC 60529 — Degrees of Protection Provided by Enclosures (IP Code) for IP54 validation</w:t>
      </w:r>
    </w:p>
    <w:sectPr w:rsidR="0012570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992402">
    <w:abstractNumId w:val="8"/>
  </w:num>
  <w:num w:numId="2" w16cid:durableId="1220433917">
    <w:abstractNumId w:val="6"/>
  </w:num>
  <w:num w:numId="3" w16cid:durableId="1862087408">
    <w:abstractNumId w:val="5"/>
  </w:num>
  <w:num w:numId="4" w16cid:durableId="902065993">
    <w:abstractNumId w:val="4"/>
  </w:num>
  <w:num w:numId="5" w16cid:durableId="1261329796">
    <w:abstractNumId w:val="7"/>
  </w:num>
  <w:num w:numId="6" w16cid:durableId="553279084">
    <w:abstractNumId w:val="3"/>
  </w:num>
  <w:num w:numId="7" w16cid:durableId="1267225662">
    <w:abstractNumId w:val="2"/>
  </w:num>
  <w:num w:numId="8" w16cid:durableId="1569072162">
    <w:abstractNumId w:val="1"/>
  </w:num>
  <w:num w:numId="9" w16cid:durableId="55327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25702"/>
    <w:rsid w:val="0015074B"/>
    <w:rsid w:val="0029639D"/>
    <w:rsid w:val="00326F90"/>
    <w:rsid w:val="00AA1D8D"/>
    <w:rsid w:val="00B47730"/>
    <w:rsid w:val="00CB0664"/>
    <w:rsid w:val="00EA7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2E957"/>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1292</Words>
  <Characters>7573</Characters>
  <Application>Microsoft Office Word</Application>
  <DocSecurity>0</DocSecurity>
  <Lines>252</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2026-07-19T21:48:00Z</dcterms:created>
  <dcterms:modified xsi:type="dcterms:W3CDTF">2026-07-19T21:48:00Z</dcterms:modified>
  <cp:category/>
</cp:coreProperties>
</file>