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DISASTER INTELLIGENCE REPORT: EXECUTIVE</w:t>
      </w:r>
    </w:p>
    <w:p>
      <w:r>
        <w:t>Report ID: DIR-2026-0917-chamoli-0CE7E | Date: 2026-09-17 14:21</w:t>
      </w:r>
    </w:p>
    <w:p>
      <w:r>
        <w:t>Target Zone: Chamoli Cryo-Glacial Zone | Audit Window: 7D</w:t>
      </w:r>
    </w:p>
    <w:p>
      <w:pPr>
        <w:pStyle w:val="Heading1"/>
      </w:pPr>
      <w:r>
        <w:t>1. Executive Summary</w:t>
      </w:r>
    </w:p>
    <w:p>
      <w:r>
        <w:t>This Official Intelligence Report provides a comprehensive multi-hazard assessment for Chamoli Cryo-Glacial Zone. The area is currently exhibiting a MODERATE threat level concerning LANDSLIDE. Conditions should be monitored continuously, but do not warrant immediate emergency escalation at this time. All data presented herein is derived from the Virtual Sensor Fusion Engine, integrating real-time meteorological, seismic, and hydrological telemetry.</w:t>
      </w:r>
    </w:p>
    <w:p>
      <w:pPr>
        <w:pStyle w:val="Heading1"/>
      </w:pPr>
      <w:r>
        <w:t>2. Quantitative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Hazard Vector</w:t>
            </w:r>
          </w:p>
        </w:tc>
        <w:tc>
          <w:tcPr>
            <w:tcW w:type="dxa" w:w="2160"/>
          </w:tcPr>
          <w:p>
            <w:r>
              <w:t>Score</w:t>
            </w:r>
          </w:p>
        </w:tc>
        <w:tc>
          <w:tcPr>
            <w:tcW w:type="dxa" w:w="2160"/>
          </w:tcPr>
          <w:p>
            <w:r>
              <w:t>Level</w:t>
            </w:r>
          </w:p>
        </w:tc>
        <w:tc>
          <w:tcPr>
            <w:tcW w:type="dxa" w:w="2160"/>
          </w:tcPr>
          <w:p>
            <w:r>
              <w:t>Primary Drivers</w:t>
            </w:r>
          </w:p>
        </w:tc>
      </w:tr>
      <w:tr>
        <w:tc>
          <w:tcPr>
            <w:tcW w:type="dxa" w:w="2160"/>
          </w:tcPr>
          <w:p>
            <w:r>
              <w:t>LANDSLIDE</w:t>
            </w:r>
          </w:p>
        </w:tc>
        <w:tc>
          <w:tcPr>
            <w:tcW w:type="dxa" w:w="2160"/>
          </w:tcPr>
          <w:p>
            <w:r>
              <w:t>35</w:t>
            </w:r>
          </w:p>
        </w:tc>
        <w:tc>
          <w:tcPr>
            <w:tcW w:type="dxa" w:w="2160"/>
          </w:tcPr>
          <w:p>
            <w:r>
              <w:t>MODERATE</w:t>
            </w:r>
          </w:p>
        </w:tc>
        <w:tc>
          <w:tcPr>
            <w:tcW w:type="dxa" w:w="2160"/>
          </w:tcPr>
          <w:p>
            <w:r>
              <w:t>• Saturated soil conditions detected</w:t>
              <w:br/>
              <w:t>• Steep slope vulnerability (38°)</w:t>
            </w:r>
          </w:p>
        </w:tc>
      </w:tr>
      <w:tr>
        <w:tc>
          <w:tcPr>
            <w:tcW w:type="dxa" w:w="2160"/>
          </w:tcPr>
          <w:p>
            <w:r>
              <w:t>FLOOD</w:t>
            </w:r>
          </w:p>
        </w:tc>
        <w:tc>
          <w:tcPr>
            <w:tcW w:type="dxa" w:w="2160"/>
          </w:tcPr>
          <w:p>
            <w:r>
              <w:t>15</w:t>
            </w:r>
          </w:p>
        </w:tc>
        <w:tc>
          <w:tcPr>
            <w:tcW w:type="dxa" w:w="2160"/>
          </w:tcPr>
          <w:p>
            <w:r>
              <w:t>LOW</w:t>
            </w:r>
          </w:p>
        </w:tc>
        <w:tc>
          <w:tcPr>
            <w:tcW w:type="dxa" w:w="2160"/>
          </w:tcPr>
          <w:p>
            <w:r>
              <w:t>• River level normal</w:t>
            </w:r>
          </w:p>
        </w:tc>
      </w:tr>
      <w:tr>
        <w:tc>
          <w:tcPr>
            <w:tcW w:type="dxa" w:w="2160"/>
          </w:tcPr>
          <w:p>
            <w:r>
              <w:t>EARTHQUAKE</w:t>
            </w:r>
          </w:p>
        </w:tc>
        <w:tc>
          <w:tcPr>
            <w:tcW w:type="dxa" w:w="2160"/>
          </w:tcPr>
          <w:p>
            <w:r>
              <w:t>30</w:t>
            </w:r>
          </w:p>
        </w:tc>
        <w:tc>
          <w:tcPr>
            <w:tcW w:type="dxa" w:w="2160"/>
          </w:tcPr>
          <w:p>
            <w:r>
              <w:t>MODERATE</w:t>
            </w:r>
          </w:p>
        </w:tc>
        <w:tc>
          <w:tcPr>
            <w:tcW w:type="dxa" w:w="2160"/>
          </w:tcPr>
          <w:p>
            <w:r>
              <w:t>• Moderate seismic hazard zone</w:t>
              <w:br/>
              <w:t>• No recent major events</w:t>
            </w:r>
          </w:p>
        </w:tc>
      </w:tr>
      <w:tr>
        <w:tc>
          <w:tcPr>
            <w:tcW w:type="dxa" w:w="2160"/>
          </w:tcPr>
          <w:p>
            <w:r>
              <w:t>CYCLONE</w:t>
            </w:r>
          </w:p>
        </w:tc>
        <w:tc>
          <w:tcPr>
            <w:tcW w:type="dxa" w:w="2160"/>
          </w:tcPr>
          <w:p>
            <w:r>
              <w:t>10</w:t>
            </w:r>
          </w:p>
        </w:tc>
        <w:tc>
          <w:tcPr>
            <w:tcW w:type="dxa" w:w="2160"/>
          </w:tcPr>
          <w:p>
            <w:r>
              <w:t>LOW</w:t>
            </w:r>
          </w:p>
        </w:tc>
        <w:tc>
          <w:tcPr>
            <w:tcW w:type="dxa" w:w="2160"/>
          </w:tcPr>
          <w:p>
            <w:r>
              <w:t>• No active cyclone track nearby</w:t>
            </w:r>
          </w:p>
        </w:tc>
      </w:tr>
      <w:tr>
        <w:tc>
          <w:tcPr>
            <w:tcW w:type="dxa" w:w="2160"/>
          </w:tcPr>
          <w:p>
            <w:r>
              <w:t>VOLCANO</w:t>
            </w:r>
          </w:p>
        </w:tc>
        <w:tc>
          <w:tcPr>
            <w:tcW w:type="dxa" w:w="2160"/>
          </w:tcPr>
          <w:p>
            <w:r>
              <w:t>5</w:t>
            </w:r>
          </w:p>
        </w:tc>
        <w:tc>
          <w:tcPr>
            <w:tcW w:type="dxa" w:w="2160"/>
          </w:tcPr>
          <w:p>
            <w:r>
              <w:t>LOW</w:t>
            </w:r>
          </w:p>
        </w:tc>
        <w:tc>
          <w:tcPr>
            <w:tcW w:type="dxa" w:w="2160"/>
          </w:tcPr>
          <w:p>
            <w:r>
              <w:t>• No active volcano in proximity</w:t>
            </w:r>
          </w:p>
        </w:tc>
      </w:tr>
    </w:tbl>
    <w:p/>
    <w:p>
      <w:pPr>
        <w:pStyle w:val="Heading2"/>
      </w:pPr>
      <w:r>
        <w:t>2.1 Root Cause Analysis &amp; Driver Explanation</w:t>
      </w:r>
    </w:p>
    <w:p>
      <w:pPr>
        <w:pStyle w:val="Heading3"/>
      </w:pPr>
      <w:r>
        <w:t>LANDSLIDE CAUSAL FACTORS</w:t>
      </w:r>
    </w:p>
    <w:p>
      <w:pPr>
        <w:pStyle w:val="ListBullet"/>
      </w:pPr>
      <w:r>
        <w:t>Saturated soil conditions detected: Geotechnical vulnerability detected: Saturated soil conditions detected. Extreme soil saturation compromises the underlying friction angle of the slope. The resulting hydrostatic pressure acts as a primary destabilizing force.</w:t>
      </w:r>
    </w:p>
    <w:p>
      <w:pPr>
        <w:pStyle w:val="ListBullet"/>
      </w:pPr>
      <w:r>
        <w:t>Steep slope vulnerability (38°): Topographical vulnerability: Steep slope vulnerability (38°). The inherent steepness of this region naturally predisposes it to gravitational shear failure when subjected to external kinematic or hydrological triggers.</w:t>
      </w:r>
    </w:p>
    <w:p>
      <w:pPr>
        <w:pStyle w:val="Heading3"/>
      </w:pPr>
      <w:r>
        <w:t>EARTHQUAKE CAUSAL FACTORS</w:t>
      </w:r>
    </w:p>
    <w:p>
      <w:pPr>
        <w:pStyle w:val="ListBullet"/>
      </w:pPr>
      <w:r>
        <w:t>Moderate seismic hazard zone: Tectonic instability: Moderate seismic hazard zone. Subsurface lithospheric stress concentrations are presenting anomalous readings, increasing the probabilistic likelihood of a sudden energy release along local fault lines.</w:t>
      </w:r>
    </w:p>
    <w:p>
      <w:pPr>
        <w:pStyle w:val="ListBullet"/>
      </w:pPr>
      <w:r>
        <w:t>No recent major events: The telemetry indicates no recent major events. This structural anomaly significantly alters the stability threshold of the surrounding topography. When combined with current meteorological load, it exponentially accelerates the likelihood of a hazard event.</w:t>
      </w:r>
    </w:p>
    <w:p/>
    <w:p>
      <w:pPr>
        <w:pStyle w:val="Heading1"/>
      </w:pPr>
      <w:r>
        <w:t>3. Virtual Sensor Telemetry</w:t>
      </w:r>
    </w:p>
    <w:p/>
    <w:p>
      <w:pPr>
        <w:pStyle w:val="Heading1"/>
      </w:pPr>
      <w:r>
        <w:t>4. Tactical Response Directives</w:t>
      </w:r>
    </w:p>
    <w:p>
      <w:pPr>
        <w:pStyle w:val="Heading2"/>
      </w:pPr>
      <w:r>
        <w:t>IMMEDIATE RESPONSE ACTIONS</w:t>
      </w:r>
    </w:p>
    <w:p>
      <w:pPr>
        <w:pStyle w:val="ListBullet"/>
      </w:pPr>
      <w:r>
        <w:t>Continue routine monitoring</w:t>
      </w:r>
    </w:p>
    <w:p>
      <w:pPr>
        <w:pStyle w:val="Heading2"/>
      </w:pPr>
      <w:r>
        <w:t>SHORT TERM RESPONSE ACTIONS</w:t>
      </w:r>
    </w:p>
    <w:p>
      <w:pPr>
        <w:pStyle w:val="ListBullet"/>
      </w:pPr>
      <w:r>
        <w:t>Review readiness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