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3785" w:rsidRDefault="00E75D8F">
      <w:pPr>
        <w:spacing w:before="500"/>
        <w:jc w:val="center"/>
      </w:pPr>
      <w:r>
        <w:rPr>
          <w:noProof/>
        </w:rPr>
        <w:drawing>
          <wp:inline distT="0" distB="0" distL="0" distR="0">
            <wp:extent cx="857250" cy="676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676275"/>
                    </a:xfrm>
                    <a:prstGeom prst="rect">
                      <a:avLst/>
                    </a:prstGeom>
                  </pic:spPr>
                </pic:pic>
              </a:graphicData>
            </a:graphic>
          </wp:inline>
        </w:drawing>
      </w:r>
    </w:p>
    <w:p w:rsidR="001E3785" w:rsidRDefault="00E75D8F">
      <w:pPr>
        <w:spacing w:before="260" w:after="40"/>
        <w:jc w:val="center"/>
      </w:pPr>
      <w:r>
        <w:rPr>
          <w:b/>
          <w:bCs/>
          <w:color w:val="5A6470"/>
          <w:spacing w:val="20"/>
          <w:sz w:val="26"/>
          <w:szCs w:val="26"/>
        </w:rPr>
        <w:t>ZENVYROLABS</w:t>
      </w:r>
    </w:p>
    <w:p w:rsidR="001E3785" w:rsidRDefault="00E75D8F">
      <w:pPr>
        <w:spacing w:before="220" w:after="100"/>
        <w:jc w:val="center"/>
      </w:pPr>
      <w:r>
        <w:rPr>
          <w:b/>
          <w:bCs/>
          <w:color w:val="1B2A4A"/>
          <w:sz w:val="46"/>
          <w:szCs w:val="46"/>
        </w:rPr>
        <w:t>Advanced Voice Studio</w:t>
      </w:r>
    </w:p>
    <w:p w:rsidR="001E3785" w:rsidRDefault="00E75D8F">
      <w:pPr>
        <w:spacing w:after="40"/>
        <w:jc w:val="center"/>
      </w:pPr>
      <w:r>
        <w:rPr>
          <w:b/>
          <w:bCs/>
          <w:color w:val="2E6E8E"/>
          <w:sz w:val="30"/>
          <w:szCs w:val="30"/>
        </w:rPr>
        <w:t>System Design Document (SDS)</w:t>
      </w:r>
    </w:p>
    <w:p w:rsidR="001E3785" w:rsidRDefault="00E75D8F">
      <w:pPr>
        <w:spacing w:after="40"/>
        <w:jc w:val="center"/>
      </w:pPr>
      <w:r>
        <w:rPr>
          <w:i/>
          <w:iCs/>
          <w:color w:val="5A6470"/>
          <w:sz w:val="20"/>
          <w:szCs w:val="20"/>
        </w:rPr>
        <w:t>IEEE-Style Software Design Specification</w:t>
      </w:r>
    </w:p>
    <w:p w:rsidR="001E3785" w:rsidRDefault="00E75D8F">
      <w:pPr>
        <w:spacing w:before="260" w:after="30"/>
        <w:jc w:val="center"/>
      </w:pPr>
      <w:r>
        <w:rPr>
          <w:b/>
          <w:bCs/>
          <w:color w:val="333333"/>
          <w:sz w:val="20"/>
          <w:szCs w:val="20"/>
        </w:rPr>
        <w:t>Software Engineering Life Cycle — Stage 2 of N</w:t>
      </w:r>
    </w:p>
    <w:p w:rsidR="001E3785" w:rsidRDefault="00E75D8F">
      <w:pPr>
        <w:spacing w:after="30"/>
        <w:jc w:val="center"/>
      </w:pPr>
      <w:r>
        <w:rPr>
          <w:color w:val="333333"/>
          <w:sz w:val="18"/>
          <w:szCs w:val="18"/>
        </w:rPr>
        <w:t>Preceded by: Stage 1 — Analysis Document (completed &amp; approved)</w:t>
      </w:r>
    </w:p>
    <w:p w:rsidR="001E3785" w:rsidRDefault="00E75D8F">
      <w:pPr>
        <w:spacing w:after="30"/>
        <w:jc w:val="center"/>
      </w:pPr>
      <w:r>
        <w:rPr>
          <w:color w:val="333333"/>
          <w:sz w:val="18"/>
          <w:szCs w:val="18"/>
        </w:rPr>
        <w:t>Followed by: Stage 3 — Software Architecture (pending approval of this document)</w:t>
      </w:r>
    </w:p>
    <w:p w:rsidR="001E3785" w:rsidRPr="00815F76" w:rsidRDefault="00E75D8F">
      <w:pPr>
        <w:spacing w:before="500" w:after="40"/>
        <w:jc w:val="center"/>
        <w:rPr>
          <w:lang w:val="en-US"/>
        </w:rPr>
      </w:pPr>
      <w:r>
        <w:rPr>
          <w:color w:val="333333"/>
          <w:sz w:val="20"/>
          <w:szCs w:val="20"/>
        </w:rPr>
        <w:t xml:space="preserve">Prepared by: </w:t>
      </w:r>
      <w:r w:rsidR="00815F76">
        <w:rPr>
          <w:color w:val="333333"/>
          <w:sz w:val="20"/>
          <w:szCs w:val="20"/>
          <w:lang w:val="en-US"/>
        </w:rPr>
        <w:t>ZAIN UL ABDIN GHANI with help of Ai assistance</w:t>
      </w:r>
    </w:p>
    <w:p w:rsidR="001E3785" w:rsidRDefault="00E75D8F">
      <w:pPr>
        <w:spacing w:after="40"/>
        <w:jc w:val="center"/>
      </w:pPr>
      <w:r>
        <w:rPr>
          <w:color w:val="333333"/>
          <w:sz w:val="20"/>
          <w:szCs w:val="20"/>
        </w:rPr>
        <w:t>Role: Principal AI Software Engineer / Solutions Architect / ML Engineer / Technical Lead</w:t>
      </w:r>
    </w:p>
    <w:p w:rsidR="001E3785" w:rsidRDefault="00E75D8F">
      <w:pPr>
        <w:spacing w:after="500"/>
        <w:jc w:val="center"/>
      </w:pPr>
      <w:r>
        <w:rPr>
          <w:color w:val="333333"/>
          <w:sz w:val="20"/>
          <w:szCs w:val="20"/>
        </w:rPr>
        <w:t>Date: July 2</w:t>
      </w:r>
      <w:r w:rsidR="00815F76">
        <w:rPr>
          <w:color w:val="333333"/>
          <w:sz w:val="20"/>
          <w:szCs w:val="20"/>
          <w:lang w:val="en-US"/>
        </w:rPr>
        <w:t>8</w:t>
      </w:r>
      <w:bookmarkStart w:id="0" w:name="_GoBack"/>
      <w:bookmarkEnd w:id="0"/>
      <w:r>
        <w:rPr>
          <w:color w:val="333333"/>
          <w:sz w:val="20"/>
          <w:szCs w:val="20"/>
        </w:rPr>
        <w:t>, 2026</w:t>
      </w:r>
    </w:p>
    <w:p w:rsidR="001E3785" w:rsidRDefault="00E75D8F">
      <w:pPr>
        <w:pBdr>
          <w:top w:val="single" w:sz="6" w:space="8" w:color="C9CFD6"/>
        </w:pBdr>
        <w:spacing w:before="900"/>
        <w:jc w:val="center"/>
      </w:pPr>
      <w:r>
        <w:rPr>
          <w:i/>
          <w:iCs/>
          <w:color w:val="5A6470"/>
          <w:sz w:val="17"/>
          <w:szCs w:val="17"/>
        </w:rPr>
        <w:t>Scope note: this docu</w:t>
      </w:r>
      <w:r>
        <w:rPr>
          <w:i/>
          <w:iCs/>
          <w:color w:val="5A6470"/>
          <w:sz w:val="17"/>
          <w:szCs w:val="17"/>
        </w:rPr>
        <w:t>ment specifies design only. It contains no source code, pseudocode, APIs, database scripts, or container build files. The existing project's folder and file structure is treated as fixed; all proposals are optional, additive extensions.</w:t>
      </w:r>
    </w:p>
    <w:p w:rsidR="001E3785" w:rsidRDefault="00E75D8F">
      <w:r>
        <w:br w:type="page"/>
      </w:r>
    </w:p>
    <w:p w:rsidR="001E3785" w:rsidRDefault="00E75D8F">
      <w:pPr>
        <w:pStyle w:val="Heading1"/>
        <w:pBdr>
          <w:bottom w:val="single" w:sz="8" w:space="4" w:color="2E6E8E"/>
        </w:pBdr>
        <w:spacing w:before="420" w:after="200"/>
      </w:pPr>
      <w:r>
        <w:rPr>
          <w:b/>
          <w:bCs/>
          <w:color w:val="1B2A4A"/>
          <w:sz w:val="30"/>
          <w:szCs w:val="30"/>
        </w:rPr>
        <w:lastRenderedPageBreak/>
        <w:t>Contents</w:t>
      </w:r>
    </w:p>
    <w:p w:rsidR="001E3785" w:rsidRDefault="00E75D8F">
      <w:pPr>
        <w:tabs>
          <w:tab w:val="right" w:leader="dot" w:pos="9026"/>
        </w:tabs>
        <w:spacing w:after="90"/>
      </w:pPr>
      <w:r>
        <w:rPr>
          <w:color w:val="222222"/>
        </w:rPr>
        <w:t>1.  Syst</w:t>
      </w:r>
      <w:r>
        <w:rPr>
          <w:color w:val="222222"/>
        </w:rPr>
        <w:t>em Design Overview</w:t>
      </w:r>
      <w:r>
        <w:rPr>
          <w:color w:val="222222"/>
        </w:rPr>
        <w:tab/>
        <w:t>3</w:t>
      </w:r>
    </w:p>
    <w:p w:rsidR="001E3785" w:rsidRDefault="00E75D8F">
      <w:pPr>
        <w:tabs>
          <w:tab w:val="right" w:leader="dot" w:pos="9026"/>
        </w:tabs>
        <w:spacing w:after="90"/>
      </w:pPr>
      <w:r>
        <w:rPr>
          <w:color w:val="222222"/>
        </w:rPr>
        <w:t>2.  Design Objectives</w:t>
      </w:r>
      <w:r>
        <w:rPr>
          <w:color w:val="222222"/>
        </w:rPr>
        <w:tab/>
        <w:t>4</w:t>
      </w:r>
    </w:p>
    <w:p w:rsidR="001E3785" w:rsidRDefault="00E75D8F">
      <w:pPr>
        <w:tabs>
          <w:tab w:val="right" w:leader="dot" w:pos="9026"/>
        </w:tabs>
        <w:spacing w:after="90"/>
      </w:pPr>
      <w:r>
        <w:rPr>
          <w:color w:val="222222"/>
        </w:rPr>
        <w:t>3.  Functional Architecture</w:t>
      </w:r>
      <w:r>
        <w:rPr>
          <w:color w:val="222222"/>
        </w:rPr>
        <w:tab/>
        <w:t>5</w:t>
      </w:r>
    </w:p>
    <w:p w:rsidR="001E3785" w:rsidRDefault="00E75D8F">
      <w:pPr>
        <w:tabs>
          <w:tab w:val="right" w:leader="dot" w:pos="9026"/>
        </w:tabs>
        <w:spacing w:after="90"/>
      </w:pPr>
      <w:r>
        <w:rPr>
          <w:color w:val="222222"/>
        </w:rPr>
        <w:t>4.  High-Level System Architecture</w:t>
      </w:r>
      <w:r>
        <w:rPr>
          <w:color w:val="222222"/>
        </w:rPr>
        <w:tab/>
        <w:t>6</w:t>
      </w:r>
    </w:p>
    <w:p w:rsidR="001E3785" w:rsidRDefault="00E75D8F">
      <w:pPr>
        <w:tabs>
          <w:tab w:val="right" w:leader="dot" w:pos="9026"/>
        </w:tabs>
        <w:spacing w:after="90"/>
      </w:pPr>
      <w:r>
        <w:rPr>
          <w:color w:val="222222"/>
        </w:rPr>
        <w:t>5.  Layered Architecture</w:t>
      </w:r>
      <w:r>
        <w:rPr>
          <w:color w:val="222222"/>
        </w:rPr>
        <w:tab/>
        <w:t>8</w:t>
      </w:r>
    </w:p>
    <w:p w:rsidR="001E3785" w:rsidRDefault="00E75D8F">
      <w:pPr>
        <w:tabs>
          <w:tab w:val="right" w:leader="dot" w:pos="9026"/>
        </w:tabs>
        <w:spacing w:after="90"/>
      </w:pPr>
      <w:r>
        <w:rPr>
          <w:color w:val="222222"/>
        </w:rPr>
        <w:t>6.  Component Architecture</w:t>
      </w:r>
      <w:r>
        <w:rPr>
          <w:color w:val="222222"/>
        </w:rPr>
        <w:tab/>
        <w:t>11</w:t>
      </w:r>
    </w:p>
    <w:p w:rsidR="001E3785" w:rsidRDefault="00E75D8F">
      <w:pPr>
        <w:tabs>
          <w:tab w:val="right" w:leader="dot" w:pos="9026"/>
        </w:tabs>
        <w:spacing w:after="90"/>
      </w:pPr>
      <w:r>
        <w:rPr>
          <w:color w:val="222222"/>
        </w:rPr>
        <w:t>7.  Request Processing Flow</w:t>
      </w:r>
      <w:r>
        <w:rPr>
          <w:color w:val="222222"/>
        </w:rPr>
        <w:tab/>
        <w:t>14</w:t>
      </w:r>
    </w:p>
    <w:p w:rsidR="001E3785" w:rsidRDefault="00E75D8F">
      <w:pPr>
        <w:tabs>
          <w:tab w:val="right" w:leader="dot" w:pos="9026"/>
        </w:tabs>
        <w:spacing w:after="90"/>
      </w:pPr>
      <w:r>
        <w:rPr>
          <w:color w:val="222222"/>
        </w:rPr>
        <w:t>8.  AI Voice Generation Workflow</w:t>
      </w:r>
      <w:r>
        <w:rPr>
          <w:color w:val="222222"/>
        </w:rPr>
        <w:tab/>
        <w:t>15</w:t>
      </w:r>
    </w:p>
    <w:p w:rsidR="001E3785" w:rsidRDefault="00E75D8F">
      <w:pPr>
        <w:tabs>
          <w:tab w:val="right" w:leader="dot" w:pos="9026"/>
        </w:tabs>
        <w:spacing w:after="90"/>
      </w:pPr>
      <w:r>
        <w:rPr>
          <w:color w:val="222222"/>
        </w:rPr>
        <w:t>9.  AI Training Workflow</w:t>
      </w:r>
      <w:r>
        <w:rPr>
          <w:color w:val="222222"/>
        </w:rPr>
        <w:tab/>
        <w:t>16</w:t>
      </w:r>
    </w:p>
    <w:p w:rsidR="001E3785" w:rsidRDefault="00E75D8F">
      <w:pPr>
        <w:tabs>
          <w:tab w:val="right" w:leader="dot" w:pos="9026"/>
        </w:tabs>
        <w:spacing w:after="90"/>
      </w:pPr>
      <w:r>
        <w:rPr>
          <w:color w:val="222222"/>
        </w:rPr>
        <w:t>10. Audio Processing Workflow</w:t>
      </w:r>
      <w:r>
        <w:rPr>
          <w:color w:val="222222"/>
        </w:rPr>
        <w:tab/>
        <w:t>17</w:t>
      </w:r>
    </w:p>
    <w:p w:rsidR="001E3785" w:rsidRDefault="00E75D8F">
      <w:pPr>
        <w:tabs>
          <w:tab w:val="right" w:leader="dot" w:pos="9026"/>
        </w:tabs>
        <w:spacing w:after="90"/>
      </w:pPr>
      <w:r>
        <w:rPr>
          <w:color w:val="222222"/>
        </w:rPr>
        <w:t>11. Data Flow Diagram</w:t>
      </w:r>
      <w:r>
        <w:rPr>
          <w:color w:val="222222"/>
        </w:rPr>
        <w:tab/>
        <w:t>18</w:t>
      </w:r>
    </w:p>
    <w:p w:rsidR="001E3785" w:rsidRDefault="00E75D8F">
      <w:pPr>
        <w:tabs>
          <w:tab w:val="right" w:leader="dot" w:pos="9026"/>
        </w:tabs>
        <w:spacing w:after="90"/>
      </w:pPr>
      <w:r>
        <w:rPr>
          <w:color w:val="222222"/>
        </w:rPr>
        <w:t>12. Component Interaction Diagram</w:t>
      </w:r>
      <w:r>
        <w:rPr>
          <w:color w:val="222222"/>
        </w:rPr>
        <w:tab/>
        <w:t>19</w:t>
      </w:r>
    </w:p>
    <w:p w:rsidR="001E3785" w:rsidRDefault="00E75D8F">
      <w:pPr>
        <w:tabs>
          <w:tab w:val="right" w:leader="dot" w:pos="9026"/>
        </w:tabs>
        <w:spacing w:after="90"/>
      </w:pPr>
      <w:r>
        <w:rPr>
          <w:color w:val="222222"/>
        </w:rPr>
        <w:t>13. Deployment Overview</w:t>
      </w:r>
      <w:r>
        <w:rPr>
          <w:color w:val="222222"/>
        </w:rPr>
        <w:tab/>
        <w:t>20</w:t>
      </w:r>
    </w:p>
    <w:p w:rsidR="001E3785" w:rsidRDefault="00E75D8F">
      <w:pPr>
        <w:tabs>
          <w:tab w:val="right" w:leader="dot" w:pos="9026"/>
        </w:tabs>
        <w:spacing w:after="90"/>
      </w:pPr>
      <w:r>
        <w:rPr>
          <w:color w:val="222222"/>
        </w:rPr>
        <w:t>14. Storage Architecture</w:t>
      </w:r>
      <w:r>
        <w:rPr>
          <w:color w:val="222222"/>
        </w:rPr>
        <w:tab/>
        <w:t>21</w:t>
      </w:r>
    </w:p>
    <w:p w:rsidR="001E3785" w:rsidRDefault="00E75D8F">
      <w:pPr>
        <w:tabs>
          <w:tab w:val="right" w:leader="dot" w:pos="9026"/>
        </w:tabs>
        <w:spacing w:after="90"/>
      </w:pPr>
      <w:r>
        <w:rPr>
          <w:color w:val="222222"/>
        </w:rPr>
        <w:t>15. Configuration Architecture</w:t>
      </w:r>
      <w:r>
        <w:rPr>
          <w:color w:val="222222"/>
        </w:rPr>
        <w:tab/>
        <w:t>22</w:t>
      </w:r>
    </w:p>
    <w:p w:rsidR="001E3785" w:rsidRDefault="00E75D8F">
      <w:pPr>
        <w:tabs>
          <w:tab w:val="right" w:leader="dot" w:pos="9026"/>
        </w:tabs>
        <w:spacing w:after="90"/>
      </w:pPr>
      <w:r>
        <w:rPr>
          <w:color w:val="222222"/>
        </w:rPr>
        <w:t>16. Logging Architecture</w:t>
      </w:r>
      <w:r>
        <w:rPr>
          <w:color w:val="222222"/>
        </w:rPr>
        <w:tab/>
        <w:t>23</w:t>
      </w:r>
    </w:p>
    <w:p w:rsidR="001E3785" w:rsidRDefault="00E75D8F">
      <w:pPr>
        <w:tabs>
          <w:tab w:val="right" w:leader="dot" w:pos="9026"/>
        </w:tabs>
        <w:spacing w:after="90"/>
      </w:pPr>
      <w:r>
        <w:rPr>
          <w:color w:val="222222"/>
        </w:rPr>
        <w:t>17. Monitoring Architecture</w:t>
      </w:r>
      <w:r>
        <w:rPr>
          <w:color w:val="222222"/>
        </w:rPr>
        <w:tab/>
        <w:t>24</w:t>
      </w:r>
    </w:p>
    <w:p w:rsidR="001E3785" w:rsidRDefault="00E75D8F">
      <w:pPr>
        <w:tabs>
          <w:tab w:val="right" w:leader="dot" w:pos="9026"/>
        </w:tabs>
        <w:spacing w:after="90"/>
      </w:pPr>
      <w:r>
        <w:rPr>
          <w:color w:val="222222"/>
        </w:rPr>
        <w:t>18. Security Design</w:t>
      </w:r>
      <w:r>
        <w:rPr>
          <w:color w:val="222222"/>
        </w:rPr>
        <w:tab/>
        <w:t>25</w:t>
      </w:r>
    </w:p>
    <w:p w:rsidR="001E3785" w:rsidRDefault="00E75D8F">
      <w:pPr>
        <w:tabs>
          <w:tab w:val="right" w:leader="dot" w:pos="9026"/>
        </w:tabs>
        <w:spacing w:after="90"/>
      </w:pPr>
      <w:r>
        <w:rPr>
          <w:color w:val="222222"/>
        </w:rPr>
        <w:t>19. Error Handling Strategy</w:t>
      </w:r>
      <w:r>
        <w:rPr>
          <w:color w:val="222222"/>
        </w:rPr>
        <w:tab/>
        <w:t>26</w:t>
      </w:r>
    </w:p>
    <w:p w:rsidR="001E3785" w:rsidRDefault="00E75D8F">
      <w:pPr>
        <w:tabs>
          <w:tab w:val="right" w:leader="dot" w:pos="9026"/>
        </w:tabs>
        <w:spacing w:after="90"/>
      </w:pPr>
      <w:r>
        <w:rPr>
          <w:color w:val="222222"/>
        </w:rPr>
        <w:t>20. Scalability Strategy</w:t>
      </w:r>
      <w:r>
        <w:rPr>
          <w:color w:val="222222"/>
        </w:rPr>
        <w:tab/>
        <w:t>27</w:t>
      </w:r>
    </w:p>
    <w:p w:rsidR="001E3785" w:rsidRDefault="00E75D8F">
      <w:pPr>
        <w:tabs>
          <w:tab w:val="right" w:leader="dot" w:pos="9026"/>
        </w:tabs>
        <w:spacing w:after="90"/>
      </w:pPr>
      <w:r>
        <w:rPr>
          <w:color w:val="222222"/>
        </w:rPr>
        <w:t>21. Extensibility Strategy</w:t>
      </w:r>
      <w:r>
        <w:rPr>
          <w:color w:val="222222"/>
        </w:rPr>
        <w:tab/>
        <w:t>28</w:t>
      </w:r>
    </w:p>
    <w:p w:rsidR="001E3785" w:rsidRDefault="00E75D8F">
      <w:pPr>
        <w:tabs>
          <w:tab w:val="right" w:leader="dot" w:pos="9026"/>
        </w:tabs>
        <w:spacing w:after="90"/>
      </w:pPr>
      <w:r>
        <w:rPr>
          <w:color w:val="222222"/>
        </w:rPr>
        <w:t>22. Enterprise Design Decisions</w:t>
      </w:r>
      <w:r>
        <w:rPr>
          <w:color w:val="222222"/>
        </w:rPr>
        <w:tab/>
        <w:t>29</w:t>
      </w:r>
    </w:p>
    <w:p w:rsidR="001E3785" w:rsidRDefault="00E75D8F">
      <w:pPr>
        <w:tabs>
          <w:tab w:val="right" w:leader="dot" w:pos="9026"/>
        </w:tabs>
        <w:spacing w:after="90"/>
      </w:pPr>
      <w:r>
        <w:rPr>
          <w:color w:val="222222"/>
        </w:rPr>
        <w:t>23. Folder Structure Analysis</w:t>
      </w:r>
      <w:r>
        <w:rPr>
          <w:color w:val="222222"/>
        </w:rPr>
        <w:tab/>
        <w:t>31</w:t>
      </w:r>
    </w:p>
    <w:p w:rsidR="001E3785" w:rsidRDefault="00E75D8F">
      <w:r>
        <w:br w:type="page"/>
      </w:r>
    </w:p>
    <w:p w:rsidR="001E3785" w:rsidRDefault="00E75D8F">
      <w:pPr>
        <w:pStyle w:val="Heading1"/>
        <w:pBdr>
          <w:bottom w:val="single" w:sz="8" w:space="4" w:color="2E6E8E"/>
        </w:pBdr>
        <w:spacing w:before="420" w:after="200"/>
      </w:pPr>
      <w:r>
        <w:rPr>
          <w:b/>
          <w:bCs/>
          <w:color w:val="1B2A4A"/>
          <w:sz w:val="30"/>
          <w:szCs w:val="30"/>
        </w:rPr>
        <w:lastRenderedPageBreak/>
        <w:t>1. System Design Overview</w:t>
      </w:r>
    </w:p>
    <w:p w:rsidR="001E3785" w:rsidRDefault="00E75D8F">
      <w:pPr>
        <w:spacing w:after="160" w:line="276" w:lineRule="auto"/>
      </w:pPr>
      <w:r>
        <w:rPr>
          <w:color w:val="222222"/>
        </w:rPr>
        <w:t>This System Desig</w:t>
      </w:r>
      <w:r>
        <w:rPr>
          <w:color w:val="222222"/>
        </w:rPr>
        <w:t xml:space="preserve">n Document (SDS) constitutes Stage 2 of the Software Engineering Life Cycle for the </w:t>
      </w:r>
      <w:proofErr w:type="spellStart"/>
      <w:r>
        <w:rPr>
          <w:color w:val="222222"/>
        </w:rPr>
        <w:t>Zenvyrolabs</w:t>
      </w:r>
      <w:proofErr w:type="spellEnd"/>
      <w:r>
        <w:rPr>
          <w:color w:val="222222"/>
        </w:rPr>
        <w:t xml:space="preserve"> Advanced Voice Studio. It builds directly on the Stage 1 Analysis Document — the completed, approved review of the existing implementation, its architecture, it</w:t>
      </w:r>
      <w:r>
        <w:rPr>
          <w:color w:val="222222"/>
        </w:rPr>
        <w:t xml:space="preserve">s dependencies, and the gaps between current </w:t>
      </w:r>
      <w:proofErr w:type="spellStart"/>
      <w:r>
        <w:rPr>
          <w:color w:val="222222"/>
        </w:rPr>
        <w:t>behavior</w:t>
      </w:r>
      <w:proofErr w:type="spellEnd"/>
      <w:r>
        <w:rPr>
          <w:color w:val="222222"/>
        </w:rPr>
        <w:t xml:space="preserve"> and stated product requirements. That analysis is treated here as an input, not repeated.</w:t>
      </w:r>
    </w:p>
    <w:p w:rsidR="001E3785" w:rsidRDefault="00E75D8F">
      <w:pPr>
        <w:spacing w:after="160" w:line="276" w:lineRule="auto"/>
      </w:pPr>
      <w:r>
        <w:rPr>
          <w:color w:val="222222"/>
        </w:rPr>
        <w:t>The purpose of this document is to specify the target system design: the layered architecture, components, workf</w:t>
      </w:r>
      <w:r>
        <w:rPr>
          <w:color w:val="222222"/>
        </w:rPr>
        <w:t xml:space="preserve">lows, and cross-cutting engineering concerns (storage, configuration, logging, monitoring, security, error handling, scalability, extensibility) required for the </w:t>
      </w:r>
      <w:proofErr w:type="spellStart"/>
      <w:r>
        <w:rPr>
          <w:color w:val="222222"/>
        </w:rPr>
        <w:t>Zenvyrolabs</w:t>
      </w:r>
      <w:proofErr w:type="spellEnd"/>
      <w:r>
        <w:rPr>
          <w:color w:val="222222"/>
        </w:rPr>
        <w:t xml:space="preserve"> Advanced Voice Studio to satisfy its stated requirements as a coherent, enterprise</w:t>
      </w:r>
      <w:r>
        <w:rPr>
          <w:color w:val="222222"/>
        </w:rPr>
        <w:t>-grade system, while treating the existing delivered project as a fixed foundation rather than a subject for redesign.</w:t>
      </w:r>
    </w:p>
    <w:p w:rsidR="001E3785" w:rsidRDefault="00E75D8F">
      <w:pPr>
        <w:spacing w:after="160" w:line="276" w:lineRule="auto"/>
      </w:pPr>
      <w:r>
        <w:rPr>
          <w:color w:val="222222"/>
        </w:rPr>
        <w:t>Two design postures run through every section of this document:</w:t>
      </w:r>
    </w:p>
    <w:p w:rsidR="001E3785" w:rsidRDefault="00E75D8F">
      <w:pPr>
        <w:pStyle w:val="ListParagraph"/>
        <w:numPr>
          <w:ilvl w:val="0"/>
          <w:numId w:val="2"/>
        </w:numPr>
        <w:spacing w:after="90" w:line="268" w:lineRule="auto"/>
      </w:pPr>
      <w:r>
        <w:rPr>
          <w:b/>
          <w:bCs/>
        </w:rPr>
        <w:t xml:space="preserve">Design around, not over. </w:t>
      </w:r>
      <w:r>
        <w:t>The existing folder structure, file locations, and module boundaries established in the delivered implementation are treated as correct and unchanged. Where this document introduces a component, layer, or folder that does not yet exist, it is explicitly ma</w:t>
      </w:r>
      <w:r>
        <w:t>rked as a designed target or optional extension, never as a replacement.</w:t>
      </w:r>
    </w:p>
    <w:p w:rsidR="001E3785" w:rsidRDefault="00E75D8F">
      <w:pPr>
        <w:pStyle w:val="ListParagraph"/>
        <w:numPr>
          <w:ilvl w:val="0"/>
          <w:numId w:val="2"/>
        </w:numPr>
        <w:spacing w:after="90" w:line="268" w:lineRule="auto"/>
      </w:pPr>
      <w:r>
        <w:rPr>
          <w:b/>
          <w:bCs/>
        </w:rPr>
        <w:t xml:space="preserve">Design honestly. </w:t>
      </w:r>
      <w:r>
        <w:t xml:space="preserve">Where a component described here (for example, Pronunciation Routing, Logging, or Monitoring) exists only partially or not at all in the current implementation, this </w:t>
      </w:r>
      <w:r>
        <w:t>document says so, consistent with the findings already established in the Stage 1 Analysis. A design document that silently assumes unfinished capabilities are complete would misinform Stage 3 (Architecture) and every stage after it.</w:t>
      </w:r>
    </w:p>
    <w:p w:rsidR="001E3785" w:rsidRDefault="00E75D8F">
      <w:pPr>
        <w:pStyle w:val="Heading2"/>
        <w:spacing w:before="320" w:after="140"/>
      </w:pPr>
      <w:r>
        <w:rPr>
          <w:b/>
          <w:bCs/>
          <w:color w:val="2E6E8E"/>
          <w:sz w:val="25"/>
          <w:szCs w:val="25"/>
        </w:rPr>
        <w:t>1.1 Document Scope</w:t>
      </w:r>
    </w:p>
    <w:p w:rsidR="001E3785" w:rsidRDefault="00E75D8F">
      <w:pPr>
        <w:spacing w:after="160" w:line="276" w:lineRule="auto"/>
      </w:pPr>
      <w:r>
        <w:rPr>
          <w:color w:val="222222"/>
        </w:rPr>
        <w:t xml:space="preserve">In </w:t>
      </w:r>
      <w:r>
        <w:rPr>
          <w:color w:val="222222"/>
        </w:rPr>
        <w:t>scope: functional and layered architecture, component responsibilities, request and data flow, deployment topology at a conceptual level, storage/configuration/logging/monitoring architecture, security and error-handling design, scalability and extensibili</w:t>
      </w:r>
      <w:r>
        <w:rPr>
          <w:color w:val="222222"/>
        </w:rPr>
        <w:t>ty strategy, enterprise design-decision rationale, and folder structure analysis.</w:t>
      </w:r>
    </w:p>
    <w:p w:rsidR="001E3785" w:rsidRDefault="00E75D8F">
      <w:pPr>
        <w:spacing w:after="160" w:line="276" w:lineRule="auto"/>
      </w:pPr>
      <w:r>
        <w:rPr>
          <w:color w:val="222222"/>
        </w:rPr>
        <w:t xml:space="preserve">Out of scope, by explicit instruction: source code, pseudocode, algorithms, API definitions, database scripts, container build files, and any other implementation </w:t>
      </w:r>
      <w:proofErr w:type="spellStart"/>
      <w:r>
        <w:rPr>
          <w:color w:val="222222"/>
        </w:rPr>
        <w:t>artifact</w:t>
      </w:r>
      <w:proofErr w:type="spellEnd"/>
      <w:r>
        <w:rPr>
          <w:color w:val="222222"/>
        </w:rPr>
        <w:t>. W</w:t>
      </w:r>
      <w:r>
        <w:rPr>
          <w:color w:val="222222"/>
        </w:rPr>
        <w:t>here an architectural concept would normally be expressed as an interface or schema, this document instead describes it narratively and structurally (responsibilities, collaborators, data shape at a conceptual level) without specifying syntax.</w:t>
      </w:r>
    </w:p>
    <w:p w:rsidR="001E3785" w:rsidRDefault="00E75D8F">
      <w:pPr>
        <w:pStyle w:val="Heading2"/>
        <w:spacing w:before="320" w:after="140"/>
      </w:pPr>
      <w:r>
        <w:rPr>
          <w:b/>
          <w:bCs/>
          <w:color w:val="2E6E8E"/>
          <w:sz w:val="25"/>
          <w:szCs w:val="25"/>
        </w:rPr>
        <w:t>1.2 Relation</w:t>
      </w:r>
      <w:r>
        <w:rPr>
          <w:b/>
          <w:bCs/>
          <w:color w:val="2E6E8E"/>
          <w:sz w:val="25"/>
          <w:szCs w:val="25"/>
        </w:rPr>
        <w:t>ship to the Existing Project</w:t>
      </w:r>
    </w:p>
    <w:p w:rsidR="001E3785" w:rsidRDefault="00E75D8F">
      <w:pPr>
        <w:spacing w:after="160" w:line="276" w:lineRule="auto"/>
      </w:pPr>
      <w:r>
        <w:rPr>
          <w:color w:val="222222"/>
        </w:rPr>
        <w:t>The existing project is treated in this document as a production-relevant legacy system: an 18-file Python/</w:t>
      </w:r>
      <w:proofErr w:type="spellStart"/>
      <w:r>
        <w:rPr>
          <w:color w:val="222222"/>
        </w:rPr>
        <w:t>Gradio</w:t>
      </w:r>
      <w:proofErr w:type="spellEnd"/>
      <w:r>
        <w:rPr>
          <w:color w:val="222222"/>
        </w:rPr>
        <w:t xml:space="preserve"> application (app.py, rvc_infer.py, transliterate.py, supporting configuration, batch launchers, and bundled asset</w:t>
      </w:r>
      <w:r>
        <w:rPr>
          <w:color w:val="222222"/>
        </w:rPr>
        <w:t xml:space="preserve">s/models) already delivered and already </w:t>
      </w:r>
      <w:proofErr w:type="spellStart"/>
      <w:r>
        <w:rPr>
          <w:color w:val="222222"/>
        </w:rPr>
        <w:t>analyzed</w:t>
      </w:r>
      <w:proofErr w:type="spellEnd"/>
      <w:r>
        <w:rPr>
          <w:color w:val="222222"/>
        </w:rPr>
        <w:t>. Section 23 of this document performs the required folder-structure analysis in full; every other section is written to be consistent with, and non-disruptive to, that existing structure.</w:t>
      </w:r>
    </w:p>
    <w:p w:rsidR="001E3785" w:rsidRDefault="00E75D8F">
      <w:r>
        <w:br w:type="page"/>
      </w:r>
    </w:p>
    <w:p w:rsidR="001E3785" w:rsidRDefault="00E75D8F">
      <w:pPr>
        <w:pStyle w:val="Heading1"/>
        <w:pBdr>
          <w:bottom w:val="single" w:sz="8" w:space="4" w:color="2E6E8E"/>
        </w:pBdr>
        <w:spacing w:before="420" w:after="200"/>
      </w:pPr>
      <w:r>
        <w:rPr>
          <w:b/>
          <w:bCs/>
          <w:color w:val="1B2A4A"/>
          <w:sz w:val="30"/>
          <w:szCs w:val="30"/>
        </w:rPr>
        <w:lastRenderedPageBreak/>
        <w:t>2. Design Objecti</w:t>
      </w:r>
      <w:r>
        <w:rPr>
          <w:b/>
          <w:bCs/>
          <w:color w:val="1B2A4A"/>
          <w:sz w:val="30"/>
          <w:szCs w:val="30"/>
        </w:rPr>
        <w:t>ves</w:t>
      </w:r>
    </w:p>
    <w:p w:rsidR="001E3785" w:rsidRDefault="00E75D8F">
      <w:pPr>
        <w:spacing w:after="160" w:line="276" w:lineRule="auto"/>
      </w:pPr>
      <w:r>
        <w:rPr>
          <w:color w:val="222222"/>
        </w:rPr>
        <w:t xml:space="preserve">The following objectives govern every design decision in this document. Each </w:t>
      </w:r>
      <w:proofErr w:type="gramStart"/>
      <w:r>
        <w:rPr>
          <w:color w:val="222222"/>
        </w:rPr>
        <w:t>traces</w:t>
      </w:r>
      <w:proofErr w:type="gramEnd"/>
      <w:r>
        <w:rPr>
          <w:color w:val="222222"/>
        </w:rPr>
        <w:t xml:space="preserve"> back to a requirement or gap already established in the Stage 1 Analysis.</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560"/>
        <w:gridCol w:w="3300"/>
        <w:gridCol w:w="5500"/>
      </w:tblGrid>
      <w:tr w:rsidR="001E3785">
        <w:tblPrEx>
          <w:tblCellMar>
            <w:top w:w="0" w:type="dxa"/>
            <w:bottom w:w="0" w:type="dxa"/>
          </w:tblCellMar>
        </w:tblPrEx>
        <w:trPr>
          <w:tblHeader/>
        </w:trPr>
        <w:tc>
          <w:tcPr>
            <w:tcW w:w="56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w:t>
            </w:r>
          </w:p>
        </w:tc>
        <w:tc>
          <w:tcPr>
            <w:tcW w:w="33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Objective</w:t>
            </w:r>
          </w:p>
        </w:tc>
        <w:tc>
          <w:tcPr>
            <w:tcW w:w="55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Rationale</w:t>
            </w:r>
          </w:p>
        </w:tc>
      </w:tr>
      <w:tr w:rsidR="001E3785">
        <w:tblPrEx>
          <w:tblCellMar>
            <w:top w:w="0" w:type="dxa"/>
            <w:bottom w:w="0" w:type="dxa"/>
          </w:tblCellMar>
        </w:tblPrEx>
        <w:tc>
          <w:tcPr>
            <w:tcW w:w="560" w:type="dxa"/>
            <w:tcMar>
              <w:top w:w="80" w:type="dxa"/>
              <w:left w:w="110" w:type="dxa"/>
              <w:bottom w:w="80" w:type="dxa"/>
              <w:right w:w="110" w:type="dxa"/>
            </w:tcMar>
            <w:vAlign w:val="center"/>
          </w:tcPr>
          <w:p w:rsidR="001E3785" w:rsidRDefault="00E75D8F">
            <w:pPr>
              <w:spacing w:line="250" w:lineRule="auto"/>
            </w:pPr>
            <w:r>
              <w:rPr>
                <w:color w:val="1E1E1E"/>
                <w:sz w:val="19"/>
                <w:szCs w:val="19"/>
              </w:rPr>
              <w:t>O-1</w:t>
            </w:r>
          </w:p>
        </w:tc>
        <w:tc>
          <w:tcPr>
            <w:tcW w:w="3300" w:type="dxa"/>
            <w:tcMar>
              <w:top w:w="80" w:type="dxa"/>
              <w:left w:w="110" w:type="dxa"/>
              <w:bottom w:w="80" w:type="dxa"/>
              <w:right w:w="110" w:type="dxa"/>
            </w:tcMar>
            <w:vAlign w:val="center"/>
          </w:tcPr>
          <w:p w:rsidR="001E3785" w:rsidRDefault="00E75D8F">
            <w:pPr>
              <w:spacing w:line="250" w:lineRule="auto"/>
            </w:pPr>
            <w:r>
              <w:rPr>
                <w:color w:val="1E1E1E"/>
                <w:sz w:val="19"/>
                <w:szCs w:val="19"/>
              </w:rPr>
              <w:t>Preserve full compatibility with the existing delivered project</w:t>
            </w:r>
          </w:p>
        </w:tc>
        <w:tc>
          <w:tcPr>
            <w:tcW w:w="5500" w:type="dxa"/>
            <w:tcMar>
              <w:top w:w="80" w:type="dxa"/>
              <w:left w:w="110" w:type="dxa"/>
              <w:bottom w:w="80" w:type="dxa"/>
              <w:right w:w="110" w:type="dxa"/>
            </w:tcMar>
            <w:vAlign w:val="center"/>
          </w:tcPr>
          <w:p w:rsidR="001E3785" w:rsidRDefault="00E75D8F">
            <w:pPr>
              <w:spacing w:line="250" w:lineRule="auto"/>
            </w:pPr>
            <w:r>
              <w:rPr>
                <w:color w:val="1E1E1E"/>
                <w:sz w:val="19"/>
                <w:szCs w:val="19"/>
              </w:rPr>
              <w:t>The existing structure, entry points, and file layout are the system of record; this design must slot around them, not replace them.</w:t>
            </w:r>
          </w:p>
        </w:tc>
      </w:tr>
      <w:tr w:rsidR="001E3785">
        <w:tblPrEx>
          <w:tblCellMar>
            <w:top w:w="0" w:type="dxa"/>
            <w:bottom w:w="0" w:type="dxa"/>
          </w:tblCellMar>
        </w:tblPrEx>
        <w:tc>
          <w:tcPr>
            <w:tcW w:w="5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O-2</w:t>
            </w:r>
          </w:p>
        </w:tc>
        <w:tc>
          <w:tcPr>
            <w:tcW w:w="33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Formalize Pronunciation Routing as a first-class, designed component</w:t>
            </w:r>
          </w:p>
        </w:tc>
        <w:tc>
          <w:tcPr>
            <w:tcW w:w="55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 xml:space="preserve">The Analysis found the intended hybrid-pronunciation </w:t>
            </w:r>
            <w:proofErr w:type="spellStart"/>
            <w:r>
              <w:rPr>
                <w:color w:val="1E1E1E"/>
                <w:sz w:val="19"/>
                <w:szCs w:val="19"/>
              </w:rPr>
              <w:t>behavior</w:t>
            </w:r>
            <w:proofErr w:type="spellEnd"/>
            <w:r>
              <w:rPr>
                <w:color w:val="1E1E1E"/>
                <w:sz w:val="19"/>
                <w:szCs w:val="19"/>
              </w:rPr>
              <w:t xml:space="preserve"> implemented but structurally disconnected from the Podcast Engine; the design must give it an explicit place in the architecture rather than leaving it as an isolated tab.</w:t>
            </w:r>
          </w:p>
        </w:tc>
      </w:tr>
      <w:tr w:rsidR="001E3785">
        <w:tblPrEx>
          <w:tblCellMar>
            <w:top w:w="0" w:type="dxa"/>
            <w:bottom w:w="0" w:type="dxa"/>
          </w:tblCellMar>
        </w:tblPrEx>
        <w:tc>
          <w:tcPr>
            <w:tcW w:w="560" w:type="dxa"/>
            <w:tcMar>
              <w:top w:w="80" w:type="dxa"/>
              <w:left w:w="110" w:type="dxa"/>
              <w:bottom w:w="80" w:type="dxa"/>
              <w:right w:w="110" w:type="dxa"/>
            </w:tcMar>
            <w:vAlign w:val="center"/>
          </w:tcPr>
          <w:p w:rsidR="001E3785" w:rsidRDefault="00E75D8F">
            <w:pPr>
              <w:spacing w:line="250" w:lineRule="auto"/>
            </w:pPr>
            <w:r>
              <w:rPr>
                <w:color w:val="1E1E1E"/>
                <w:sz w:val="19"/>
                <w:szCs w:val="19"/>
              </w:rPr>
              <w:t>O-3</w:t>
            </w:r>
          </w:p>
        </w:tc>
        <w:tc>
          <w:tcPr>
            <w:tcW w:w="3300" w:type="dxa"/>
            <w:tcMar>
              <w:top w:w="80" w:type="dxa"/>
              <w:left w:w="110" w:type="dxa"/>
              <w:bottom w:w="80" w:type="dxa"/>
              <w:right w:w="110" w:type="dxa"/>
            </w:tcMar>
            <w:vAlign w:val="center"/>
          </w:tcPr>
          <w:p w:rsidR="001E3785" w:rsidRDefault="00E75D8F">
            <w:pPr>
              <w:spacing w:line="250" w:lineRule="auto"/>
            </w:pPr>
            <w:r>
              <w:rPr>
                <w:color w:val="1E1E1E"/>
                <w:sz w:val="19"/>
                <w:szCs w:val="19"/>
              </w:rPr>
              <w:t>Formalize the AI Training Pipeline's missing filtering stages as designed workflow steps</w:t>
            </w:r>
          </w:p>
        </w:tc>
        <w:tc>
          <w:tcPr>
            <w:tcW w:w="5500" w:type="dxa"/>
            <w:tcMar>
              <w:top w:w="80" w:type="dxa"/>
              <w:left w:w="110" w:type="dxa"/>
              <w:bottom w:w="80" w:type="dxa"/>
              <w:right w:w="110" w:type="dxa"/>
            </w:tcMar>
            <w:vAlign w:val="center"/>
          </w:tcPr>
          <w:p w:rsidR="001E3785" w:rsidRDefault="00E75D8F">
            <w:pPr>
              <w:spacing w:line="250" w:lineRule="auto"/>
            </w:pPr>
            <w:r>
              <w:rPr>
                <w:color w:val="1E1E1E"/>
                <w:sz w:val="19"/>
                <w:szCs w:val="19"/>
              </w:rPr>
              <w:t>Noise filtering and silence trimming are named requirements not yet present in the implementation; the design must reserve their place in the workflow.</w:t>
            </w:r>
          </w:p>
        </w:tc>
      </w:tr>
      <w:tr w:rsidR="001E3785">
        <w:tblPrEx>
          <w:tblCellMar>
            <w:top w:w="0" w:type="dxa"/>
            <w:bottom w:w="0" w:type="dxa"/>
          </w:tblCellMar>
        </w:tblPrEx>
        <w:tc>
          <w:tcPr>
            <w:tcW w:w="5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O-4</w:t>
            </w:r>
          </w:p>
        </w:tc>
        <w:tc>
          <w:tcPr>
            <w:tcW w:w="33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Introduce cross-cutting platform concerns as additive layers</w:t>
            </w:r>
          </w:p>
        </w:tc>
        <w:tc>
          <w:tcPr>
            <w:tcW w:w="55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Logging, monitoring, and centralized configuration do not meaningfully exist in the current implementation; the design must introduce them without disturbing existing modules.</w:t>
            </w:r>
          </w:p>
        </w:tc>
      </w:tr>
      <w:tr w:rsidR="001E3785">
        <w:tblPrEx>
          <w:tblCellMar>
            <w:top w:w="0" w:type="dxa"/>
            <w:bottom w:w="0" w:type="dxa"/>
          </w:tblCellMar>
        </w:tblPrEx>
        <w:tc>
          <w:tcPr>
            <w:tcW w:w="560" w:type="dxa"/>
            <w:tcMar>
              <w:top w:w="80" w:type="dxa"/>
              <w:left w:w="110" w:type="dxa"/>
              <w:bottom w:w="80" w:type="dxa"/>
              <w:right w:w="110" w:type="dxa"/>
            </w:tcMar>
            <w:vAlign w:val="center"/>
          </w:tcPr>
          <w:p w:rsidR="001E3785" w:rsidRDefault="00E75D8F">
            <w:pPr>
              <w:spacing w:line="250" w:lineRule="auto"/>
            </w:pPr>
            <w:r>
              <w:rPr>
                <w:color w:val="1E1E1E"/>
                <w:sz w:val="19"/>
                <w:szCs w:val="19"/>
              </w:rPr>
              <w:t>O-5</w:t>
            </w:r>
          </w:p>
        </w:tc>
        <w:tc>
          <w:tcPr>
            <w:tcW w:w="3300" w:type="dxa"/>
            <w:tcMar>
              <w:top w:w="80" w:type="dxa"/>
              <w:left w:w="110" w:type="dxa"/>
              <w:bottom w:w="80" w:type="dxa"/>
              <w:right w:w="110" w:type="dxa"/>
            </w:tcMar>
            <w:vAlign w:val="center"/>
          </w:tcPr>
          <w:p w:rsidR="001E3785" w:rsidRDefault="00E75D8F">
            <w:pPr>
              <w:spacing w:line="250" w:lineRule="auto"/>
            </w:pPr>
            <w:r>
              <w:rPr>
                <w:color w:val="1E1E1E"/>
                <w:sz w:val="19"/>
                <w:szCs w:val="19"/>
              </w:rPr>
              <w:t>Design for containerized, portable deployment</w:t>
            </w:r>
          </w:p>
        </w:tc>
        <w:tc>
          <w:tcPr>
            <w:tcW w:w="5500" w:type="dxa"/>
            <w:tcMar>
              <w:top w:w="80" w:type="dxa"/>
              <w:left w:w="110" w:type="dxa"/>
              <w:bottom w:w="80" w:type="dxa"/>
              <w:right w:w="110" w:type="dxa"/>
            </w:tcMar>
            <w:vAlign w:val="center"/>
          </w:tcPr>
          <w:p w:rsidR="001E3785" w:rsidRDefault="00E75D8F">
            <w:pPr>
              <w:spacing w:line="250" w:lineRule="auto"/>
            </w:pPr>
            <w:r>
              <w:rPr>
                <w:color w:val="1E1E1E"/>
                <w:sz w:val="19"/>
                <w:szCs w:val="19"/>
              </w:rPr>
              <w:t>The current system is Windows-batch-oriented and single-host; the design must describe a deployment topology that a future containerization effort can implement without redesigning the application layers.</w:t>
            </w:r>
          </w:p>
        </w:tc>
      </w:tr>
      <w:tr w:rsidR="001E3785">
        <w:tblPrEx>
          <w:tblCellMar>
            <w:top w:w="0" w:type="dxa"/>
            <w:bottom w:w="0" w:type="dxa"/>
          </w:tblCellMar>
        </w:tblPrEx>
        <w:tc>
          <w:tcPr>
            <w:tcW w:w="5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O-6</w:t>
            </w:r>
          </w:p>
        </w:tc>
        <w:tc>
          <w:tcPr>
            <w:tcW w:w="33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Preserve and formalize the existing dual-runtime isolation strategy</w:t>
            </w:r>
          </w:p>
        </w:tc>
        <w:tc>
          <w:tcPr>
            <w:tcW w:w="55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The existing separation between the primary runtime and an isolated RVC runtime is sound engineering and should be retained as a documented architectural decision, not accidental structure</w:t>
            </w:r>
            <w:r>
              <w:rPr>
                <w:color w:val="1E1E1E"/>
                <w:sz w:val="19"/>
                <w:szCs w:val="19"/>
              </w:rPr>
              <w:t>.</w:t>
            </w:r>
          </w:p>
        </w:tc>
      </w:tr>
      <w:tr w:rsidR="001E3785">
        <w:tblPrEx>
          <w:tblCellMar>
            <w:top w:w="0" w:type="dxa"/>
            <w:bottom w:w="0" w:type="dxa"/>
          </w:tblCellMar>
        </w:tblPrEx>
        <w:tc>
          <w:tcPr>
            <w:tcW w:w="560" w:type="dxa"/>
            <w:tcMar>
              <w:top w:w="80" w:type="dxa"/>
              <w:left w:w="110" w:type="dxa"/>
              <w:bottom w:w="80" w:type="dxa"/>
              <w:right w:w="110" w:type="dxa"/>
            </w:tcMar>
            <w:vAlign w:val="center"/>
          </w:tcPr>
          <w:p w:rsidR="001E3785" w:rsidRDefault="00E75D8F">
            <w:pPr>
              <w:spacing w:line="250" w:lineRule="auto"/>
            </w:pPr>
            <w:r>
              <w:rPr>
                <w:color w:val="1E1E1E"/>
                <w:sz w:val="19"/>
                <w:szCs w:val="19"/>
              </w:rPr>
              <w:t>O-7</w:t>
            </w:r>
          </w:p>
        </w:tc>
        <w:tc>
          <w:tcPr>
            <w:tcW w:w="3300" w:type="dxa"/>
            <w:tcMar>
              <w:top w:w="80" w:type="dxa"/>
              <w:left w:w="110" w:type="dxa"/>
              <w:bottom w:w="80" w:type="dxa"/>
              <w:right w:w="110" w:type="dxa"/>
            </w:tcMar>
            <w:vAlign w:val="center"/>
          </w:tcPr>
          <w:p w:rsidR="001E3785" w:rsidRDefault="00E75D8F">
            <w:pPr>
              <w:spacing w:line="250" w:lineRule="auto"/>
            </w:pPr>
            <w:r>
              <w:rPr>
                <w:color w:val="1E1E1E"/>
                <w:sz w:val="19"/>
                <w:szCs w:val="19"/>
              </w:rPr>
              <w:t>Design security and error-handling as explicit, layered strategies</w:t>
            </w:r>
          </w:p>
        </w:tc>
        <w:tc>
          <w:tcPr>
            <w:tcW w:w="5500" w:type="dxa"/>
            <w:tcMar>
              <w:top w:w="80" w:type="dxa"/>
              <w:left w:w="110" w:type="dxa"/>
              <w:bottom w:w="80" w:type="dxa"/>
              <w:right w:w="110" w:type="dxa"/>
            </w:tcMar>
            <w:vAlign w:val="center"/>
          </w:tcPr>
          <w:p w:rsidR="001E3785" w:rsidRDefault="00E75D8F">
            <w:pPr>
              <w:spacing w:line="250" w:lineRule="auto"/>
            </w:pPr>
            <w:r>
              <w:rPr>
                <w:color w:val="1E1E1E"/>
                <w:sz w:val="19"/>
                <w:szCs w:val="19"/>
              </w:rPr>
              <w:t>Both exist today only as ad hoc, function-level patterns; the design must generalize them into repeatable strategies applicable across all components.</w:t>
            </w:r>
          </w:p>
        </w:tc>
      </w:tr>
      <w:tr w:rsidR="001E3785">
        <w:tblPrEx>
          <w:tblCellMar>
            <w:top w:w="0" w:type="dxa"/>
            <w:bottom w:w="0" w:type="dxa"/>
          </w:tblCellMar>
        </w:tblPrEx>
        <w:tc>
          <w:tcPr>
            <w:tcW w:w="5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O-8</w:t>
            </w:r>
          </w:p>
        </w:tc>
        <w:tc>
          <w:tcPr>
            <w:tcW w:w="33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Keep every new element optional and additive</w:t>
            </w:r>
          </w:p>
        </w:tc>
        <w:tc>
          <w:tcPr>
            <w:tcW w:w="55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Per engagement rules, nothing in this document may require renaming, moving, merging, or removing any existing folder or file.</w:t>
            </w:r>
          </w:p>
        </w:tc>
      </w:tr>
    </w:tbl>
    <w:p w:rsidR="001E3785" w:rsidRDefault="00E75D8F">
      <w:r>
        <w:br w:type="page"/>
      </w:r>
    </w:p>
    <w:p w:rsidR="001E3785" w:rsidRDefault="00E75D8F">
      <w:pPr>
        <w:pStyle w:val="Heading1"/>
        <w:pBdr>
          <w:bottom w:val="single" w:sz="8" w:space="4" w:color="2E6E8E"/>
        </w:pBdr>
        <w:spacing w:before="420" w:after="200"/>
      </w:pPr>
      <w:r>
        <w:rPr>
          <w:b/>
          <w:bCs/>
          <w:color w:val="1B2A4A"/>
          <w:sz w:val="30"/>
          <w:szCs w:val="30"/>
        </w:rPr>
        <w:lastRenderedPageBreak/>
        <w:t>3. Functional Architecture</w:t>
      </w:r>
    </w:p>
    <w:p w:rsidR="001E3785" w:rsidRDefault="00E75D8F">
      <w:pPr>
        <w:spacing w:after="160" w:line="276" w:lineRule="auto"/>
      </w:pPr>
      <w:r>
        <w:rPr>
          <w:color w:val="222222"/>
        </w:rPr>
        <w:t xml:space="preserve">At the functional level, the system organizes around five service groupings. These are conceptual groupings of responsibility, not new folders or modules — each </w:t>
      </w:r>
      <w:proofErr w:type="gramStart"/>
      <w:r>
        <w:rPr>
          <w:color w:val="222222"/>
        </w:rPr>
        <w:t>maps</w:t>
      </w:r>
      <w:proofErr w:type="gramEnd"/>
      <w:r>
        <w:rPr>
          <w:color w:val="222222"/>
        </w:rPr>
        <w:t xml:space="preserve"> onto components already described (or designed) within the existing project structure.</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2600"/>
        <w:gridCol w:w="3900"/>
        <w:gridCol w:w="2860"/>
      </w:tblGrid>
      <w:tr w:rsidR="001E3785">
        <w:tblPrEx>
          <w:tblCellMar>
            <w:top w:w="0" w:type="dxa"/>
            <w:bottom w:w="0" w:type="dxa"/>
          </w:tblCellMar>
        </w:tblPrEx>
        <w:trPr>
          <w:tblHeader/>
        </w:trPr>
        <w:tc>
          <w:tcPr>
            <w:tcW w:w="26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Ser</w:t>
            </w:r>
            <w:r>
              <w:rPr>
                <w:b/>
                <w:bCs/>
                <w:color w:val="FFFFFF"/>
                <w:sz w:val="19"/>
                <w:szCs w:val="19"/>
              </w:rPr>
              <w:t>vice Grouping</w:t>
            </w:r>
          </w:p>
        </w:tc>
        <w:tc>
          <w:tcPr>
            <w:tcW w:w="39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Purpose</w:t>
            </w:r>
          </w:p>
        </w:tc>
        <w:tc>
          <w:tcPr>
            <w:tcW w:w="286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Maps to Existing/Designed Tabs</w:t>
            </w:r>
          </w:p>
        </w:tc>
      </w:tr>
      <w:tr w:rsidR="001E3785">
        <w:tblPrEx>
          <w:tblCellMar>
            <w:top w:w="0" w:type="dxa"/>
            <w:bottom w:w="0" w:type="dxa"/>
          </w:tblCellMar>
        </w:tblPrEx>
        <w:tc>
          <w:tcPr>
            <w:tcW w:w="2600" w:type="dxa"/>
            <w:tcMar>
              <w:top w:w="80" w:type="dxa"/>
              <w:left w:w="110" w:type="dxa"/>
              <w:bottom w:w="80" w:type="dxa"/>
              <w:right w:w="110" w:type="dxa"/>
            </w:tcMar>
            <w:vAlign w:val="center"/>
          </w:tcPr>
          <w:p w:rsidR="001E3785" w:rsidRDefault="00E75D8F">
            <w:pPr>
              <w:spacing w:line="250" w:lineRule="auto"/>
            </w:pPr>
            <w:r>
              <w:rPr>
                <w:color w:val="1E1E1E"/>
                <w:sz w:val="19"/>
                <w:szCs w:val="19"/>
              </w:rPr>
              <w:t>Voice Cloning Services</w:t>
            </w:r>
          </w:p>
        </w:tc>
        <w:tc>
          <w:tcPr>
            <w:tcW w:w="3900" w:type="dxa"/>
            <w:tcMar>
              <w:top w:w="80" w:type="dxa"/>
              <w:left w:w="110" w:type="dxa"/>
              <w:bottom w:w="80" w:type="dxa"/>
              <w:right w:w="110" w:type="dxa"/>
            </w:tcMar>
            <w:vAlign w:val="center"/>
          </w:tcPr>
          <w:p w:rsidR="001E3785" w:rsidRDefault="00E75D8F">
            <w:pPr>
              <w:spacing w:line="250" w:lineRule="auto"/>
            </w:pPr>
            <w:r>
              <w:rPr>
                <w:color w:val="1E1E1E"/>
                <w:sz w:val="19"/>
                <w:szCs w:val="19"/>
              </w:rPr>
              <w:t>Zero-shot and trained voice generation from reference material</w:t>
            </w:r>
          </w:p>
        </w:tc>
        <w:tc>
          <w:tcPr>
            <w:tcW w:w="2860" w:type="dxa"/>
            <w:tcMar>
              <w:top w:w="80" w:type="dxa"/>
              <w:left w:w="110" w:type="dxa"/>
              <w:bottom w:w="80" w:type="dxa"/>
              <w:right w:w="110" w:type="dxa"/>
            </w:tcMar>
            <w:vAlign w:val="center"/>
          </w:tcPr>
          <w:p w:rsidR="001E3785" w:rsidRDefault="00E75D8F">
            <w:pPr>
              <w:spacing w:line="250" w:lineRule="auto"/>
            </w:pPr>
            <w:r>
              <w:rPr>
                <w:color w:val="1E1E1E"/>
                <w:sz w:val="19"/>
                <w:szCs w:val="19"/>
              </w:rPr>
              <w:t>Voice Cloner; Dramatic Story Mode</w:t>
            </w:r>
          </w:p>
        </w:tc>
      </w:tr>
      <w:tr w:rsidR="001E3785">
        <w:tblPrEx>
          <w:tblCellMar>
            <w:top w:w="0" w:type="dxa"/>
            <w:bottom w:w="0" w:type="dxa"/>
          </w:tblCellMar>
        </w:tblPrEx>
        <w:tc>
          <w:tcPr>
            <w:tcW w:w="2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Multi-Character Podcast Services</w:t>
            </w:r>
          </w:p>
        </w:tc>
        <w:tc>
          <w:tcPr>
            <w:tcW w:w="39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Multi-speaker script generation and assembly, including pronunciation routing</w:t>
            </w:r>
          </w:p>
        </w:tc>
        <w:tc>
          <w:tcPr>
            <w:tcW w:w="28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Multi-Voice Podcast; Pronunciation Routing (designed)</w:t>
            </w:r>
          </w:p>
        </w:tc>
      </w:tr>
      <w:tr w:rsidR="001E3785">
        <w:tblPrEx>
          <w:tblCellMar>
            <w:top w:w="0" w:type="dxa"/>
            <w:bottom w:w="0" w:type="dxa"/>
          </w:tblCellMar>
        </w:tblPrEx>
        <w:tc>
          <w:tcPr>
            <w:tcW w:w="2600" w:type="dxa"/>
            <w:tcMar>
              <w:top w:w="80" w:type="dxa"/>
              <w:left w:w="110" w:type="dxa"/>
              <w:bottom w:w="80" w:type="dxa"/>
              <w:right w:w="110" w:type="dxa"/>
            </w:tcMar>
            <w:vAlign w:val="center"/>
          </w:tcPr>
          <w:p w:rsidR="001E3785" w:rsidRDefault="00E75D8F">
            <w:pPr>
              <w:spacing w:line="250" w:lineRule="auto"/>
            </w:pPr>
            <w:r>
              <w:rPr>
                <w:color w:val="1E1E1E"/>
                <w:sz w:val="19"/>
                <w:szCs w:val="19"/>
              </w:rPr>
              <w:t>Localization &amp; Pronunciation Services</w:t>
            </w:r>
          </w:p>
        </w:tc>
        <w:tc>
          <w:tcPr>
            <w:tcW w:w="3900" w:type="dxa"/>
            <w:tcMar>
              <w:top w:w="80" w:type="dxa"/>
              <w:left w:w="110" w:type="dxa"/>
              <w:bottom w:w="80" w:type="dxa"/>
              <w:right w:w="110" w:type="dxa"/>
            </w:tcMar>
            <w:vAlign w:val="center"/>
          </w:tcPr>
          <w:p w:rsidR="001E3785" w:rsidRDefault="00E75D8F">
            <w:pPr>
              <w:spacing w:line="250" w:lineRule="auto"/>
            </w:pPr>
            <w:r>
              <w:rPr>
                <w:color w:val="1E1E1E"/>
                <w:sz w:val="19"/>
                <w:szCs w:val="19"/>
              </w:rPr>
              <w:t>Script transliteration and native-accent narration for non-English content</w:t>
            </w:r>
          </w:p>
        </w:tc>
        <w:tc>
          <w:tcPr>
            <w:tcW w:w="2860" w:type="dxa"/>
            <w:tcMar>
              <w:top w:w="80" w:type="dxa"/>
              <w:left w:w="110" w:type="dxa"/>
              <w:bottom w:w="80" w:type="dxa"/>
              <w:right w:w="110" w:type="dxa"/>
            </w:tcMar>
            <w:vAlign w:val="center"/>
          </w:tcPr>
          <w:p w:rsidR="001E3785" w:rsidRDefault="00E75D8F">
            <w:pPr>
              <w:spacing w:line="250" w:lineRule="auto"/>
            </w:pPr>
            <w:r>
              <w:rPr>
                <w:color w:val="1E1E1E"/>
                <w:sz w:val="19"/>
                <w:szCs w:val="19"/>
              </w:rPr>
              <w:t>Hindi/Urdu; Perfect Pronunciation Clone</w:t>
            </w:r>
          </w:p>
        </w:tc>
      </w:tr>
      <w:tr w:rsidR="001E3785">
        <w:tblPrEx>
          <w:tblCellMar>
            <w:top w:w="0" w:type="dxa"/>
            <w:bottom w:w="0" w:type="dxa"/>
          </w:tblCellMar>
        </w:tblPrEx>
        <w:tc>
          <w:tcPr>
            <w:tcW w:w="2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Training &amp; Dataset Services</w:t>
            </w:r>
          </w:p>
        </w:tc>
        <w:tc>
          <w:tcPr>
            <w:tcW w:w="39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Long-form audio ingestion, cleaning, segmentation, and model lifecycle management</w:t>
            </w:r>
          </w:p>
        </w:tc>
        <w:tc>
          <w:tcPr>
            <w:tcW w:w="28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Voice Training Studio; Voice-to-Voice (RVC)</w:t>
            </w:r>
          </w:p>
        </w:tc>
      </w:tr>
      <w:tr w:rsidR="001E3785">
        <w:tblPrEx>
          <w:tblCellMar>
            <w:top w:w="0" w:type="dxa"/>
            <w:bottom w:w="0" w:type="dxa"/>
          </w:tblCellMar>
        </w:tblPrEx>
        <w:tc>
          <w:tcPr>
            <w:tcW w:w="2600" w:type="dxa"/>
            <w:tcMar>
              <w:top w:w="80" w:type="dxa"/>
              <w:left w:w="110" w:type="dxa"/>
              <w:bottom w:w="80" w:type="dxa"/>
              <w:right w:w="110" w:type="dxa"/>
            </w:tcMar>
            <w:vAlign w:val="center"/>
          </w:tcPr>
          <w:p w:rsidR="001E3785" w:rsidRDefault="00E75D8F">
            <w:pPr>
              <w:spacing w:line="250" w:lineRule="auto"/>
            </w:pPr>
            <w:r>
              <w:rPr>
                <w:color w:val="1E1E1E"/>
                <w:sz w:val="19"/>
                <w:szCs w:val="19"/>
              </w:rPr>
              <w:t>Audio Editing Services</w:t>
            </w:r>
          </w:p>
        </w:tc>
        <w:tc>
          <w:tcPr>
            <w:tcW w:w="3900" w:type="dxa"/>
            <w:tcMar>
              <w:top w:w="80" w:type="dxa"/>
              <w:left w:w="110" w:type="dxa"/>
              <w:bottom w:w="80" w:type="dxa"/>
              <w:right w:w="110" w:type="dxa"/>
            </w:tcMar>
            <w:vAlign w:val="center"/>
          </w:tcPr>
          <w:p w:rsidR="001E3785" w:rsidRDefault="00E75D8F">
            <w:pPr>
              <w:spacing w:line="250" w:lineRule="auto"/>
            </w:pPr>
            <w:r>
              <w:rPr>
                <w:color w:val="1E1E1E"/>
                <w:sz w:val="19"/>
                <w:szCs w:val="19"/>
              </w:rPr>
              <w:t>Post-generation manipulation of produced audio</w:t>
            </w:r>
          </w:p>
        </w:tc>
        <w:tc>
          <w:tcPr>
            <w:tcW w:w="2860" w:type="dxa"/>
            <w:tcMar>
              <w:top w:w="80" w:type="dxa"/>
              <w:left w:w="110" w:type="dxa"/>
              <w:bottom w:w="80" w:type="dxa"/>
              <w:right w:w="110" w:type="dxa"/>
            </w:tcMar>
            <w:vAlign w:val="center"/>
          </w:tcPr>
          <w:p w:rsidR="001E3785" w:rsidRDefault="00E75D8F">
            <w:pPr>
              <w:spacing w:line="250" w:lineRule="auto"/>
            </w:pPr>
            <w:r>
              <w:rPr>
                <w:color w:val="1E1E1E"/>
                <w:sz w:val="19"/>
                <w:szCs w:val="19"/>
              </w:rPr>
              <w:t>Audio Editor</w:t>
            </w:r>
          </w:p>
        </w:tc>
      </w:tr>
    </w:tbl>
    <w:p w:rsidR="001E3785" w:rsidRDefault="00E75D8F">
      <w:pPr>
        <w:spacing w:after="160" w:line="276" w:lineRule="auto"/>
      </w:pPr>
      <w:r>
        <w:rPr>
          <w:color w:val="222222"/>
        </w:rPr>
        <w:t>A sixth grouping, Platform Services, is not user-facing but is required by every service above: configuration, logging, monitoring, and security. These are addressed as their own layers and sections (§§14–19) rather than as tabs, since they are cross-cutti</w:t>
      </w:r>
      <w:r>
        <w:rPr>
          <w:color w:val="222222"/>
        </w:rPr>
        <w:t>ng rather than feature-specific.</w:t>
      </w:r>
    </w:p>
    <w:p w:rsidR="001E3785" w:rsidRDefault="00E75D8F">
      <w:r>
        <w:br w:type="page"/>
      </w:r>
    </w:p>
    <w:p w:rsidR="001E3785" w:rsidRDefault="00E75D8F">
      <w:pPr>
        <w:pStyle w:val="Heading1"/>
        <w:pBdr>
          <w:bottom w:val="single" w:sz="8" w:space="4" w:color="2E6E8E"/>
        </w:pBdr>
        <w:spacing w:before="420" w:after="200"/>
      </w:pPr>
      <w:r>
        <w:rPr>
          <w:b/>
          <w:bCs/>
          <w:color w:val="1B2A4A"/>
          <w:sz w:val="30"/>
          <w:szCs w:val="30"/>
        </w:rPr>
        <w:lastRenderedPageBreak/>
        <w:t>4. High-Level System Architecture</w:t>
      </w:r>
    </w:p>
    <w:p w:rsidR="001E3785" w:rsidRDefault="00E75D8F">
      <w:pPr>
        <w:spacing w:after="160" w:line="276" w:lineRule="auto"/>
      </w:pPr>
      <w:r>
        <w:rPr>
          <w:color w:val="222222"/>
        </w:rPr>
        <w:t>Figure 4.1 presents the system at its highest level of abstraction: a single-host application composed of a presentation tier, an orchestration tier, and a set of specialized processing a</w:t>
      </w:r>
      <w:r>
        <w:rPr>
          <w:color w:val="222222"/>
        </w:rPr>
        <w:t xml:space="preserve">nd storage tiers, all currently </w:t>
      </w:r>
      <w:proofErr w:type="spellStart"/>
      <w:r>
        <w:rPr>
          <w:color w:val="222222"/>
        </w:rPr>
        <w:t>colocated</w:t>
      </w:r>
      <w:proofErr w:type="spellEnd"/>
      <w:r>
        <w:rPr>
          <w:color w:val="222222"/>
        </w:rPr>
        <w:t xml:space="preserve"> on one machine and designed to remain </w:t>
      </w:r>
      <w:proofErr w:type="spellStart"/>
      <w:r>
        <w:rPr>
          <w:color w:val="222222"/>
        </w:rPr>
        <w:t>colocated</w:t>
      </w:r>
      <w:proofErr w:type="spellEnd"/>
      <w:r>
        <w:rPr>
          <w:color w:val="222222"/>
        </w:rPr>
        <w:t xml:space="preserve"> unless Section 13's deployment evolution is adopted.</w:t>
      </w:r>
    </w:p>
    <w:tbl>
      <w:tblPr>
        <w:tblW w:w="9360" w:type="dxa"/>
        <w:tblBorders>
          <w:top w:val="single" w:sz="6" w:space="0" w:color="1B2A4A"/>
          <w:left w:val="single" w:sz="6" w:space="0" w:color="1B2A4A"/>
          <w:bottom w:val="single" w:sz="6" w:space="0" w:color="1B2A4A"/>
          <w:right w:val="single" w:sz="6" w:space="0" w:color="1B2A4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1E3785">
        <w:tblPrEx>
          <w:tblCellMar>
            <w:top w:w="0" w:type="dxa"/>
            <w:bottom w:w="0" w:type="dxa"/>
          </w:tblCellMar>
        </w:tblPrEx>
        <w:tc>
          <w:tcPr>
            <w:tcW w:w="9360" w:type="dxa"/>
            <w:shd w:val="clear" w:color="auto" w:fill="F7F8FA"/>
            <w:tcMar>
              <w:top w:w="160" w:type="dxa"/>
              <w:left w:w="180" w:type="dxa"/>
              <w:bottom w:w="160" w:type="dxa"/>
              <w:right w:w="180" w:type="dxa"/>
            </w:tcMar>
          </w:tcPr>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CLIENT (Web </w:t>
            </w:r>
            <w:proofErr w:type="gramStart"/>
            <w:r>
              <w:rPr>
                <w:rFonts w:ascii="Consolas" w:eastAsia="Consolas" w:hAnsi="Consolas" w:cs="Consolas"/>
                <w:color w:val="1B1B1B"/>
                <w:sz w:val="18"/>
                <w:szCs w:val="18"/>
              </w:rPr>
              <w:t>Brows</w:t>
            </w:r>
            <w:r>
              <w:rPr>
                <w:rFonts w:ascii="Consolas" w:eastAsia="Consolas" w:hAnsi="Consolas" w:cs="Consolas"/>
                <w:color w:val="1B1B1B"/>
                <w:sz w:val="18"/>
                <w:szCs w:val="18"/>
              </w:rPr>
              <w:t xml:space="preserve">er)   </w:t>
            </w:r>
            <w:proofErr w:type="gramEnd"/>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w:t>
            </w:r>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PRESENTATION LAYER                         │</w:t>
            </w:r>
          </w:p>
          <w:p w:rsidR="001E3785" w:rsidRDefault="00E75D8F">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Gradio</w:t>
            </w:r>
            <w:proofErr w:type="spellEnd"/>
            <w:r>
              <w:rPr>
                <w:rFonts w:ascii="Consolas" w:eastAsia="Consolas" w:hAnsi="Consolas" w:cs="Consolas"/>
                <w:color w:val="1B1B1B"/>
                <w:sz w:val="18"/>
                <w:szCs w:val="18"/>
              </w:rPr>
              <w:t xml:space="preserve"> Blocks UI — 8 Functional Tabs                │</w:t>
            </w:r>
          </w:p>
          <w:p w:rsidR="001E3785" w:rsidRDefault="00E75D8F">
            <w:r>
              <w:rPr>
                <w:rFonts w:ascii="Consolas" w:eastAsia="Consolas" w:hAnsi="Consolas" w:cs="Consolas"/>
                <w:color w:val="1B1B1B"/>
                <w:sz w:val="18"/>
                <w:szCs w:val="18"/>
              </w:rPr>
              <w:t>└────────────────────────────────────────────────────────</w:t>
            </w:r>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APPLICATION LAYER                          │</w:t>
            </w:r>
          </w:p>
          <w:p w:rsidR="001E3785" w:rsidRDefault="00E75D8F">
            <w:r>
              <w:rPr>
                <w:rFonts w:ascii="Consolas" w:eastAsia="Consolas" w:hAnsi="Consolas" w:cs="Consolas"/>
                <w:color w:val="1B1B1B"/>
                <w:sz w:val="18"/>
                <w:szCs w:val="18"/>
              </w:rPr>
              <w:t>│         Tab Orchestrators · Validation · Response Assembly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DOMAIN + INFRASTRUCTURE + AI PROCESSING               │</w:t>
            </w:r>
          </w:p>
          <w:p w:rsidR="001E3785" w:rsidRDefault="00E75D8F">
            <w:r>
              <w:rPr>
                <w:rFonts w:ascii="Consolas" w:eastAsia="Consolas" w:hAnsi="Consolas" w:cs="Consolas"/>
                <w:color w:val="1B1B1B"/>
                <w:sz w:val="18"/>
                <w:szCs w:val="18"/>
              </w:rPr>
              <w:t>│     Domain: V</w:t>
            </w:r>
            <w:r>
              <w:rPr>
                <w:rFonts w:ascii="Consolas" w:eastAsia="Consolas" w:hAnsi="Consolas" w:cs="Consolas"/>
                <w:color w:val="1B1B1B"/>
                <w:sz w:val="18"/>
                <w:szCs w:val="18"/>
              </w:rPr>
              <w:t>oice Profile · Script · Training Session · Model      │</w:t>
            </w:r>
          </w:p>
          <w:p w:rsidR="001E3785" w:rsidRDefault="00E75D8F">
            <w:proofErr w:type="gramStart"/>
            <w:r>
              <w:rPr>
                <w:rFonts w:ascii="Consolas" w:eastAsia="Consolas" w:hAnsi="Consolas" w:cs="Consolas"/>
                <w:color w:val="1B1B1B"/>
                <w:sz w:val="18"/>
                <w:szCs w:val="18"/>
              </w:rPr>
              <w:t>│  Infrastructure</w:t>
            </w:r>
            <w:proofErr w:type="gramEnd"/>
            <w:r>
              <w:rPr>
                <w:rFonts w:ascii="Consolas" w:eastAsia="Consolas" w:hAnsi="Consolas" w:cs="Consolas"/>
                <w:color w:val="1B1B1B"/>
                <w:sz w:val="18"/>
                <w:szCs w:val="18"/>
              </w:rPr>
              <w:t xml:space="preserve">: Subprocess </w:t>
            </w:r>
            <w:proofErr w:type="spellStart"/>
            <w:r>
              <w:rPr>
                <w:rFonts w:ascii="Consolas" w:eastAsia="Consolas" w:hAnsi="Consolas" w:cs="Consolas"/>
                <w:color w:val="1B1B1B"/>
                <w:sz w:val="18"/>
                <w:szCs w:val="18"/>
              </w:rPr>
              <w:t>Mgmt</w:t>
            </w:r>
            <w:proofErr w:type="spellEnd"/>
            <w:r>
              <w:rPr>
                <w:rFonts w:ascii="Consolas" w:eastAsia="Consolas" w:hAnsi="Consolas" w:cs="Consolas"/>
                <w:color w:val="1B1B1B"/>
                <w:sz w:val="18"/>
                <w:szCs w:val="18"/>
              </w:rPr>
              <w:t xml:space="preserve"> · Multi-Runtime </w:t>
            </w:r>
            <w:proofErr w:type="spellStart"/>
            <w:r>
              <w:rPr>
                <w:rFonts w:ascii="Consolas" w:eastAsia="Consolas" w:hAnsi="Consolas" w:cs="Consolas"/>
                <w:color w:val="1B1B1B"/>
                <w:sz w:val="18"/>
                <w:szCs w:val="18"/>
              </w:rPr>
              <w:t>Mgmt</w:t>
            </w:r>
            <w:proofErr w:type="spellEnd"/>
            <w:r>
              <w:rPr>
                <w:rFonts w:ascii="Consolas" w:eastAsia="Consolas" w:hAnsi="Consolas" w:cs="Consolas"/>
                <w:color w:val="1B1B1B"/>
                <w:sz w:val="18"/>
                <w:szCs w:val="18"/>
              </w:rPr>
              <w:t xml:space="preserve"> · File I/O   │</w:t>
            </w:r>
          </w:p>
          <w:p w:rsidR="001E3785" w:rsidRDefault="00E75D8F">
            <w:r>
              <w:rPr>
                <w:rFonts w:ascii="Consolas" w:eastAsia="Consolas" w:hAnsi="Consolas" w:cs="Consolas"/>
                <w:color w:val="1B1B1B"/>
                <w:sz w:val="18"/>
                <w:szCs w:val="18"/>
              </w:rPr>
              <w:t>│ AI Processing: F5-TTS · Edge-TTS · RVC · Whisper · Transliteration │</w:t>
            </w:r>
          </w:p>
          <w:p w:rsidR="001E3785" w:rsidRDefault="00E75D8F">
            <w:r>
              <w:rPr>
                <w:rFonts w:ascii="Consolas" w:eastAsia="Consolas" w:hAnsi="Consolas" w:cs="Consolas"/>
                <w:color w:val="1B1B1B"/>
                <w:sz w:val="18"/>
                <w:szCs w:val="18"/>
              </w:rPr>
              <w:t>└─────────────────────────────────────────────────────────</w:t>
            </w:r>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ST</w:t>
            </w:r>
            <w:r>
              <w:rPr>
                <w:rFonts w:ascii="Consolas" w:eastAsia="Consolas" w:hAnsi="Consolas" w:cs="Consolas"/>
                <w:color w:val="1B1B1B"/>
                <w:sz w:val="18"/>
                <w:szCs w:val="18"/>
              </w:rPr>
              <w:t>ORAGE LAYER                            │</w:t>
            </w:r>
          </w:p>
          <w:p w:rsidR="001E3785" w:rsidRDefault="00E75D8F">
            <w:r>
              <w:rPr>
                <w:rFonts w:ascii="Consolas" w:eastAsia="Consolas" w:hAnsi="Consolas" w:cs="Consolas"/>
                <w:color w:val="1B1B1B"/>
                <w:sz w:val="18"/>
                <w:szCs w:val="18"/>
              </w:rPr>
              <w:t>│     Voice Store · Model Store · Training Store · Temp · Cache      │</w:t>
            </w:r>
          </w:p>
          <w:p w:rsidR="001E3785" w:rsidRDefault="00E75D8F">
            <w:r>
              <w:rPr>
                <w:rFonts w:ascii="Consolas" w:eastAsia="Consolas" w:hAnsi="Consolas" w:cs="Consolas"/>
                <w:color w:val="1B1B1B"/>
                <w:sz w:val="18"/>
                <w:szCs w:val="18"/>
              </w:rPr>
              <w:t>└────────────────────────────────────────────────────────────────────┘</w:t>
            </w:r>
          </w:p>
        </w:tc>
      </w:tr>
    </w:tbl>
    <w:p w:rsidR="001E3785" w:rsidRDefault="00E75D8F">
      <w:pPr>
        <w:spacing w:before="60" w:after="200"/>
      </w:pPr>
      <w:r>
        <w:rPr>
          <w:i/>
          <w:iCs/>
          <w:color w:val="5A6470"/>
          <w:sz w:val="18"/>
          <w:szCs w:val="18"/>
        </w:rPr>
        <w:t>Figure 4.1 — High-Level System Architecture (Layer View)</w:t>
      </w:r>
    </w:p>
    <w:p w:rsidR="001E3785" w:rsidRDefault="00E75D8F">
      <w:pPr>
        <w:pStyle w:val="Heading2"/>
        <w:spacing w:before="320" w:after="140"/>
      </w:pPr>
      <w:r>
        <w:rPr>
          <w:b/>
          <w:bCs/>
          <w:color w:val="2E6E8E"/>
          <w:sz w:val="25"/>
          <w:szCs w:val="25"/>
        </w:rPr>
        <w:t>4.1 Architectural Style</w:t>
      </w:r>
    </w:p>
    <w:p w:rsidR="001E3785" w:rsidRDefault="00E75D8F">
      <w:pPr>
        <w:spacing w:after="160" w:line="276" w:lineRule="auto"/>
      </w:pPr>
      <w:r>
        <w:rPr>
          <w:color w:val="222222"/>
        </w:rPr>
        <w:t xml:space="preserve">The system follows a layered, monolithic-process architecture with internal modular separation by responsibility, augmented by explicit runtime isolation for one processing component. This style was already implicit in the existing </w:t>
      </w:r>
      <w:r>
        <w:rPr>
          <w:color w:val="222222"/>
        </w:rPr>
        <w:t>implementation (tab-based UI, function-level separation by feature, a deliberately separate runtime for RVC processing); this design formalizes it rather than introducing a new style.</w:t>
      </w:r>
    </w:p>
    <w:p w:rsidR="001E3785" w:rsidRDefault="00E75D8F">
      <w:pPr>
        <w:pStyle w:val="Heading2"/>
        <w:spacing w:before="320" w:after="140"/>
      </w:pPr>
      <w:r>
        <w:rPr>
          <w:b/>
          <w:bCs/>
          <w:color w:val="2E6E8E"/>
          <w:sz w:val="25"/>
          <w:szCs w:val="25"/>
        </w:rPr>
        <w:t>4.2 Key Architectural Characteristics</w:t>
      </w:r>
    </w:p>
    <w:p w:rsidR="001E3785" w:rsidRDefault="00E75D8F">
      <w:pPr>
        <w:pStyle w:val="ListParagraph"/>
        <w:numPr>
          <w:ilvl w:val="0"/>
          <w:numId w:val="2"/>
        </w:numPr>
        <w:spacing w:after="90" w:line="268" w:lineRule="auto"/>
      </w:pPr>
      <w:r>
        <w:t>Single-process presentation and or</w:t>
      </w:r>
      <w:r>
        <w:t>chestration, with specialized AI processing delegated to isolated runtimes and external engine processes rather than performed in-process.</w:t>
      </w:r>
    </w:p>
    <w:p w:rsidR="001E3785" w:rsidRDefault="00E75D8F">
      <w:pPr>
        <w:pStyle w:val="ListParagraph"/>
        <w:numPr>
          <w:ilvl w:val="0"/>
          <w:numId w:val="2"/>
        </w:numPr>
        <w:spacing w:after="90" w:line="268" w:lineRule="auto"/>
      </w:pPr>
      <w:r>
        <w:t>Filesystem-based persistence in place of a database, appropriate for a single-tenant desktop-class deployment profile</w:t>
      </w:r>
      <w:r>
        <w:t>.</w:t>
      </w:r>
    </w:p>
    <w:p w:rsidR="001E3785" w:rsidRDefault="00E75D8F">
      <w:pPr>
        <w:pStyle w:val="ListParagraph"/>
        <w:numPr>
          <w:ilvl w:val="0"/>
          <w:numId w:val="2"/>
        </w:numPr>
        <w:spacing w:after="90" w:line="268" w:lineRule="auto"/>
      </w:pPr>
      <w:r>
        <w:t>Explicit multi-runtime isolation: a primary runtime for the presentation/application/domain layers and most AI engines, and a secondary, isolated runtime for RVC processing, preserving the existing project's dependency-isolation strategy.</w:t>
      </w:r>
    </w:p>
    <w:p w:rsidR="001E3785" w:rsidRDefault="00E75D8F">
      <w:pPr>
        <w:pStyle w:val="ListParagraph"/>
        <w:numPr>
          <w:ilvl w:val="0"/>
          <w:numId w:val="2"/>
        </w:numPr>
        <w:spacing w:after="90" w:line="268" w:lineRule="auto"/>
      </w:pPr>
      <w:r>
        <w:lastRenderedPageBreak/>
        <w:t>Synchronous, re</w:t>
      </w:r>
      <w:r>
        <w:t>quest-per-action processing model: each user action in the Presentation Layer corresponds to one orchestrated request through the stack, with no background job queue in the current design (see §20 for the scalability implications and designed evolution pat</w:t>
      </w:r>
      <w:r>
        <w:t>h).</w:t>
      </w:r>
    </w:p>
    <w:p w:rsidR="001E3785" w:rsidRDefault="00E75D8F">
      <w:r>
        <w:br w:type="page"/>
      </w:r>
    </w:p>
    <w:p w:rsidR="001E3785" w:rsidRDefault="00E75D8F">
      <w:pPr>
        <w:pStyle w:val="Heading1"/>
        <w:pBdr>
          <w:bottom w:val="single" w:sz="8" w:space="4" w:color="2E6E8E"/>
        </w:pBdr>
        <w:spacing w:before="420" w:after="200"/>
      </w:pPr>
      <w:r>
        <w:rPr>
          <w:b/>
          <w:bCs/>
          <w:color w:val="1B2A4A"/>
          <w:sz w:val="30"/>
          <w:szCs w:val="30"/>
        </w:rPr>
        <w:lastRenderedPageBreak/>
        <w:t>5. Layered Architecture</w:t>
      </w:r>
    </w:p>
    <w:p w:rsidR="001E3785" w:rsidRDefault="00E75D8F">
      <w:pPr>
        <w:spacing w:after="160" w:line="276" w:lineRule="auto"/>
      </w:pPr>
      <w:r>
        <w:rPr>
          <w:color w:val="222222"/>
        </w:rPr>
        <w:t>The system is organized into six layers. Each layer depends only on the layer(s) directly beneath it, and no layer reaches upward — a conventional layered-architecture discipline that keeps the Presentation Layer replaceable (</w:t>
      </w:r>
      <w:r>
        <w:rPr>
          <w:color w:val="222222"/>
        </w:rPr>
        <w:t>e.g. a future API or CLI front-end) without touching AI Processing or Storage.</w:t>
      </w:r>
    </w:p>
    <w:tbl>
      <w:tblPr>
        <w:tblW w:w="9360" w:type="dxa"/>
        <w:tblBorders>
          <w:top w:val="single" w:sz="6" w:space="0" w:color="1B2A4A"/>
          <w:left w:val="single" w:sz="6" w:space="0" w:color="1B2A4A"/>
          <w:bottom w:val="single" w:sz="6" w:space="0" w:color="1B2A4A"/>
          <w:right w:val="single" w:sz="6" w:space="0" w:color="1B2A4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1E3785">
        <w:tblPrEx>
          <w:tblCellMar>
            <w:top w:w="0" w:type="dxa"/>
            <w:bottom w:w="0" w:type="dxa"/>
          </w:tblCellMar>
        </w:tblPrEx>
        <w:tc>
          <w:tcPr>
            <w:tcW w:w="9360" w:type="dxa"/>
            <w:shd w:val="clear" w:color="auto" w:fill="F7F8FA"/>
            <w:tcMar>
              <w:top w:w="160" w:type="dxa"/>
              <w:left w:w="180" w:type="dxa"/>
              <w:bottom w:w="160" w:type="dxa"/>
              <w:right w:w="180" w:type="dxa"/>
            </w:tcMar>
          </w:tcPr>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PRESENTATION LAYER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w:t>
            </w:r>
            <w:r>
              <w:rPr>
                <w:rFonts w:ascii="Consolas" w:eastAsia="Consolas" w:hAnsi="Consolas" w:cs="Consolas"/>
                <w:color w:val="1B1B1B"/>
                <w:sz w:val="18"/>
                <w:szCs w:val="18"/>
              </w:rPr>
              <w:t xml:space="preserve">                  APPLICATION LAYER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w:t>
            </w:r>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DOMAIN LAYER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w:t>
            </w:r>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AI PROCESSING LAYER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w:t>
            </w:r>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INFRASTRUCTURE LAYER                    │</w:t>
            </w:r>
          </w:p>
          <w:p w:rsidR="001E3785" w:rsidRDefault="00E75D8F">
            <w:r>
              <w:rPr>
                <w:rFonts w:ascii="Consolas" w:eastAsia="Consolas" w:hAnsi="Consolas" w:cs="Consolas"/>
                <w:color w:val="1B1B1B"/>
                <w:sz w:val="18"/>
                <w:szCs w:val="18"/>
              </w:rPr>
              <w:t>└───────────────────</w:t>
            </w:r>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STORAGE LAYER                        │</w:t>
            </w:r>
          </w:p>
          <w:p w:rsidR="001E3785" w:rsidRDefault="00E75D8F">
            <w:r>
              <w:rPr>
                <w:rFonts w:ascii="Consolas" w:eastAsia="Consolas" w:hAnsi="Consolas" w:cs="Consolas"/>
                <w:color w:val="1B1B1B"/>
                <w:sz w:val="18"/>
                <w:szCs w:val="18"/>
              </w:rPr>
              <w:t>└────────────────────────────────────────────────────────────┘</w:t>
            </w:r>
          </w:p>
        </w:tc>
      </w:tr>
    </w:tbl>
    <w:p w:rsidR="001E3785" w:rsidRDefault="00E75D8F">
      <w:pPr>
        <w:spacing w:before="60" w:after="200"/>
      </w:pPr>
      <w:r>
        <w:rPr>
          <w:i/>
          <w:iCs/>
          <w:color w:val="5A6470"/>
          <w:sz w:val="18"/>
          <w:szCs w:val="18"/>
        </w:rPr>
        <w:t>Figure 5.1 — Six-Layer Architectural Stack</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2100"/>
        <w:gridCol w:w="4700"/>
        <w:gridCol w:w="2560"/>
      </w:tblGrid>
      <w:tr w:rsidR="001E3785">
        <w:tblPrEx>
          <w:tblCellMar>
            <w:top w:w="0" w:type="dxa"/>
            <w:bottom w:w="0" w:type="dxa"/>
          </w:tblCellMar>
        </w:tblPrEx>
        <w:trPr>
          <w:tblHeader/>
        </w:trPr>
        <w:tc>
          <w:tcPr>
            <w:tcW w:w="21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Layer</w:t>
            </w:r>
          </w:p>
        </w:tc>
        <w:tc>
          <w:tcPr>
            <w:tcW w:w="47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Responsibility</w:t>
            </w:r>
          </w:p>
        </w:tc>
        <w:tc>
          <w:tcPr>
            <w:tcW w:w="256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Current State</w:t>
            </w:r>
          </w:p>
        </w:tc>
      </w:tr>
      <w:tr w:rsidR="001E3785">
        <w:tblPrEx>
          <w:tblCellMar>
            <w:top w:w="0" w:type="dxa"/>
            <w:bottom w:w="0" w:type="dxa"/>
          </w:tblCellMar>
        </w:tblPrEx>
        <w:tc>
          <w:tcPr>
            <w:tcW w:w="2100" w:type="dxa"/>
            <w:tcMar>
              <w:top w:w="80" w:type="dxa"/>
              <w:left w:w="110" w:type="dxa"/>
              <w:bottom w:w="80" w:type="dxa"/>
              <w:right w:w="110" w:type="dxa"/>
            </w:tcMar>
            <w:vAlign w:val="center"/>
          </w:tcPr>
          <w:p w:rsidR="001E3785" w:rsidRDefault="00E75D8F">
            <w:pPr>
              <w:spacing w:line="250" w:lineRule="auto"/>
            </w:pPr>
            <w:r>
              <w:rPr>
                <w:color w:val="1E1E1E"/>
                <w:sz w:val="19"/>
                <w:szCs w:val="19"/>
              </w:rPr>
              <w:t>Presentation Layer</w:t>
            </w:r>
          </w:p>
        </w:tc>
        <w:tc>
          <w:tcPr>
            <w:tcW w:w="4700" w:type="dxa"/>
            <w:tcMar>
              <w:top w:w="80" w:type="dxa"/>
              <w:left w:w="110" w:type="dxa"/>
              <w:bottom w:w="80" w:type="dxa"/>
              <w:right w:w="110" w:type="dxa"/>
            </w:tcMar>
            <w:vAlign w:val="center"/>
          </w:tcPr>
          <w:p w:rsidR="001E3785" w:rsidRDefault="00E75D8F">
            <w:pPr>
              <w:spacing w:line="250" w:lineRule="auto"/>
            </w:pPr>
            <w:r>
              <w:rPr>
                <w:color w:val="1E1E1E"/>
                <w:sz w:val="19"/>
                <w:szCs w:val="19"/>
              </w:rPr>
              <w:t>Renders the UI, binds user actions to Application Layer handlers, displays results. Owns nothing about how a result is produced.</w:t>
            </w:r>
          </w:p>
        </w:tc>
        <w:tc>
          <w:tcPr>
            <w:tcW w:w="2560" w:type="dxa"/>
            <w:shd w:val="clear" w:color="auto" w:fill="D9EFE1"/>
            <w:tcMar>
              <w:top w:w="80" w:type="dxa"/>
              <w:left w:w="110" w:type="dxa"/>
              <w:bottom w:w="80" w:type="dxa"/>
              <w:right w:w="110" w:type="dxa"/>
            </w:tcMar>
            <w:vAlign w:val="center"/>
          </w:tcPr>
          <w:p w:rsidR="001E3785" w:rsidRDefault="00E75D8F">
            <w:pPr>
              <w:spacing w:line="250" w:lineRule="auto"/>
            </w:pPr>
            <w:r>
              <w:rPr>
                <w:b/>
                <w:bCs/>
                <w:color w:val="1C5E3F"/>
                <w:sz w:val="19"/>
                <w:szCs w:val="19"/>
              </w:rPr>
              <w:t>POSITIVE</w:t>
            </w:r>
          </w:p>
        </w:tc>
      </w:tr>
      <w:tr w:rsidR="001E3785">
        <w:tblPrEx>
          <w:tblCellMar>
            <w:top w:w="0" w:type="dxa"/>
            <w:bottom w:w="0" w:type="dxa"/>
          </w:tblCellMar>
        </w:tblPrEx>
        <w:tc>
          <w:tcPr>
            <w:tcW w:w="21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Application Layer</w:t>
            </w:r>
          </w:p>
        </w:tc>
        <w:tc>
          <w:tcPr>
            <w:tcW w:w="47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 xml:space="preserve">Orchestrates a request end-to-end: validates input, sequences </w:t>
            </w:r>
            <w:proofErr w:type="gramStart"/>
            <w:r>
              <w:rPr>
                <w:color w:val="1E1E1E"/>
                <w:sz w:val="19"/>
                <w:szCs w:val="19"/>
              </w:rPr>
              <w:t>calls</w:t>
            </w:r>
            <w:proofErr w:type="gramEnd"/>
            <w:r>
              <w:rPr>
                <w:color w:val="1E1E1E"/>
                <w:sz w:val="19"/>
                <w:szCs w:val="19"/>
              </w:rPr>
              <w:t xml:space="preserve"> into Domain/AI Processing/Storage, assembles the response shown by Presentation.</w:t>
            </w:r>
          </w:p>
        </w:tc>
        <w:tc>
          <w:tcPr>
            <w:tcW w:w="2560" w:type="dxa"/>
            <w:shd w:val="clear" w:color="auto" w:fill="D9EFE1"/>
            <w:tcMar>
              <w:top w:w="80" w:type="dxa"/>
              <w:left w:w="110" w:type="dxa"/>
              <w:bottom w:w="80" w:type="dxa"/>
              <w:right w:w="110" w:type="dxa"/>
            </w:tcMar>
            <w:vAlign w:val="center"/>
          </w:tcPr>
          <w:p w:rsidR="001E3785" w:rsidRDefault="00E75D8F">
            <w:pPr>
              <w:spacing w:line="250" w:lineRule="auto"/>
            </w:pPr>
            <w:r>
              <w:rPr>
                <w:b/>
                <w:bCs/>
                <w:color w:val="1C5E3F"/>
                <w:sz w:val="19"/>
                <w:szCs w:val="19"/>
              </w:rPr>
              <w:t>POSITIVE</w:t>
            </w:r>
          </w:p>
        </w:tc>
      </w:tr>
      <w:tr w:rsidR="001E3785">
        <w:tblPrEx>
          <w:tblCellMar>
            <w:top w:w="0" w:type="dxa"/>
            <w:bottom w:w="0" w:type="dxa"/>
          </w:tblCellMar>
        </w:tblPrEx>
        <w:tc>
          <w:tcPr>
            <w:tcW w:w="2100" w:type="dxa"/>
            <w:tcMar>
              <w:top w:w="80" w:type="dxa"/>
              <w:left w:w="110" w:type="dxa"/>
              <w:bottom w:w="80" w:type="dxa"/>
              <w:right w:w="110" w:type="dxa"/>
            </w:tcMar>
            <w:vAlign w:val="center"/>
          </w:tcPr>
          <w:p w:rsidR="001E3785" w:rsidRDefault="00E75D8F">
            <w:pPr>
              <w:spacing w:line="250" w:lineRule="auto"/>
            </w:pPr>
            <w:r>
              <w:rPr>
                <w:color w:val="1E1E1E"/>
                <w:sz w:val="19"/>
                <w:szCs w:val="19"/>
              </w:rPr>
              <w:t>Domain Layer</w:t>
            </w:r>
          </w:p>
        </w:tc>
        <w:tc>
          <w:tcPr>
            <w:tcW w:w="4700" w:type="dxa"/>
            <w:tcMar>
              <w:top w:w="80" w:type="dxa"/>
              <w:left w:w="110" w:type="dxa"/>
              <w:bottom w:w="80" w:type="dxa"/>
              <w:right w:w="110" w:type="dxa"/>
            </w:tcMar>
            <w:vAlign w:val="center"/>
          </w:tcPr>
          <w:p w:rsidR="001E3785" w:rsidRDefault="00E75D8F">
            <w:pPr>
              <w:spacing w:line="250" w:lineRule="auto"/>
            </w:pPr>
            <w:r>
              <w:rPr>
                <w:color w:val="1E1E1E"/>
                <w:sz w:val="19"/>
                <w:szCs w:val="19"/>
              </w:rPr>
              <w:t>Holds the system's core concepts and rules — what a Voice Profile is, what makes a script line well-formed, what a Training Session consists of — independent of how they are stored or rendered.</w:t>
            </w:r>
          </w:p>
        </w:tc>
        <w:tc>
          <w:tcPr>
            <w:tcW w:w="2560" w:type="dxa"/>
            <w:shd w:val="clear" w:color="auto" w:fill="FFF3CD"/>
            <w:tcMar>
              <w:top w:w="80" w:type="dxa"/>
              <w:left w:w="110" w:type="dxa"/>
              <w:bottom w:w="80" w:type="dxa"/>
              <w:right w:w="110" w:type="dxa"/>
            </w:tcMar>
            <w:vAlign w:val="center"/>
          </w:tcPr>
          <w:p w:rsidR="001E3785" w:rsidRDefault="00E75D8F">
            <w:pPr>
              <w:spacing w:line="250" w:lineRule="auto"/>
            </w:pPr>
            <w:r>
              <w:rPr>
                <w:b/>
                <w:bCs/>
                <w:color w:val="6B5300"/>
                <w:sz w:val="19"/>
                <w:szCs w:val="19"/>
              </w:rPr>
              <w:t>MEDIUM</w:t>
            </w:r>
          </w:p>
        </w:tc>
      </w:tr>
      <w:tr w:rsidR="001E3785">
        <w:tblPrEx>
          <w:tblCellMar>
            <w:top w:w="0" w:type="dxa"/>
            <w:bottom w:w="0" w:type="dxa"/>
          </w:tblCellMar>
        </w:tblPrEx>
        <w:tc>
          <w:tcPr>
            <w:tcW w:w="21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AI Processing Layer</w:t>
            </w:r>
          </w:p>
        </w:tc>
        <w:tc>
          <w:tcPr>
            <w:tcW w:w="47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Wraps each specialized engine (voice cloning, neural narration, voice conversion, transcription, transliteration) behind a uniform, engine-agnostic responsibility boundary.</w:t>
            </w:r>
          </w:p>
        </w:tc>
        <w:tc>
          <w:tcPr>
            <w:tcW w:w="2560" w:type="dxa"/>
            <w:shd w:val="clear" w:color="auto" w:fill="FFF3CD"/>
            <w:tcMar>
              <w:top w:w="80" w:type="dxa"/>
              <w:left w:w="110" w:type="dxa"/>
              <w:bottom w:w="80" w:type="dxa"/>
              <w:right w:w="110" w:type="dxa"/>
            </w:tcMar>
            <w:vAlign w:val="center"/>
          </w:tcPr>
          <w:p w:rsidR="001E3785" w:rsidRDefault="00E75D8F">
            <w:pPr>
              <w:spacing w:line="250" w:lineRule="auto"/>
            </w:pPr>
            <w:r>
              <w:rPr>
                <w:b/>
                <w:bCs/>
                <w:color w:val="6B5300"/>
                <w:sz w:val="19"/>
                <w:szCs w:val="19"/>
              </w:rPr>
              <w:t>MEDIUM</w:t>
            </w:r>
          </w:p>
        </w:tc>
      </w:tr>
      <w:tr w:rsidR="001E3785">
        <w:tblPrEx>
          <w:tblCellMar>
            <w:top w:w="0" w:type="dxa"/>
            <w:bottom w:w="0" w:type="dxa"/>
          </w:tblCellMar>
        </w:tblPrEx>
        <w:tc>
          <w:tcPr>
            <w:tcW w:w="2100" w:type="dxa"/>
            <w:tcMar>
              <w:top w:w="80" w:type="dxa"/>
              <w:left w:w="110" w:type="dxa"/>
              <w:bottom w:w="80" w:type="dxa"/>
              <w:right w:w="110" w:type="dxa"/>
            </w:tcMar>
            <w:vAlign w:val="center"/>
          </w:tcPr>
          <w:p w:rsidR="001E3785" w:rsidRDefault="00E75D8F">
            <w:pPr>
              <w:spacing w:line="250" w:lineRule="auto"/>
            </w:pPr>
            <w:r>
              <w:rPr>
                <w:color w:val="1E1E1E"/>
                <w:sz w:val="19"/>
                <w:szCs w:val="19"/>
              </w:rPr>
              <w:t>Infrastructure Layer</w:t>
            </w:r>
          </w:p>
        </w:tc>
        <w:tc>
          <w:tcPr>
            <w:tcW w:w="4700" w:type="dxa"/>
            <w:tcMar>
              <w:top w:w="80" w:type="dxa"/>
              <w:left w:w="110" w:type="dxa"/>
              <w:bottom w:w="80" w:type="dxa"/>
              <w:right w:w="110" w:type="dxa"/>
            </w:tcMar>
            <w:vAlign w:val="center"/>
          </w:tcPr>
          <w:p w:rsidR="001E3785" w:rsidRDefault="00E75D8F">
            <w:pPr>
              <w:spacing w:line="250" w:lineRule="auto"/>
            </w:pPr>
            <w:r>
              <w:rPr>
                <w:color w:val="1E1E1E"/>
                <w:sz w:val="19"/>
                <w:szCs w:val="19"/>
              </w:rPr>
              <w:t xml:space="preserve">Manages technical concerns that are not business logic: subprocess execution, multi-runtime coordination, file </w:t>
            </w:r>
            <w:r>
              <w:rPr>
                <w:color w:val="1E1E1E"/>
                <w:sz w:val="19"/>
                <w:szCs w:val="19"/>
              </w:rPr>
              <w:lastRenderedPageBreak/>
              <w:t>I/O, and (as designed extensions) logging/monitoring plumbing.</w:t>
            </w:r>
          </w:p>
        </w:tc>
        <w:tc>
          <w:tcPr>
            <w:tcW w:w="2560" w:type="dxa"/>
            <w:shd w:val="clear" w:color="auto" w:fill="FFF3CD"/>
            <w:tcMar>
              <w:top w:w="80" w:type="dxa"/>
              <w:left w:w="110" w:type="dxa"/>
              <w:bottom w:w="80" w:type="dxa"/>
              <w:right w:w="110" w:type="dxa"/>
            </w:tcMar>
            <w:vAlign w:val="center"/>
          </w:tcPr>
          <w:p w:rsidR="001E3785" w:rsidRDefault="00E75D8F">
            <w:pPr>
              <w:spacing w:line="250" w:lineRule="auto"/>
            </w:pPr>
            <w:r>
              <w:rPr>
                <w:b/>
                <w:bCs/>
                <w:color w:val="6B5300"/>
                <w:sz w:val="19"/>
                <w:szCs w:val="19"/>
              </w:rPr>
              <w:lastRenderedPageBreak/>
              <w:t>MEDIUM</w:t>
            </w:r>
          </w:p>
        </w:tc>
      </w:tr>
      <w:tr w:rsidR="001E3785">
        <w:tblPrEx>
          <w:tblCellMar>
            <w:top w:w="0" w:type="dxa"/>
            <w:bottom w:w="0" w:type="dxa"/>
          </w:tblCellMar>
        </w:tblPrEx>
        <w:tc>
          <w:tcPr>
            <w:tcW w:w="21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Storage Layer</w:t>
            </w:r>
          </w:p>
        </w:tc>
        <w:tc>
          <w:tcPr>
            <w:tcW w:w="47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 xml:space="preserve">Owns persistence of all durable </w:t>
            </w:r>
            <w:proofErr w:type="spellStart"/>
            <w:r>
              <w:rPr>
                <w:color w:val="1E1E1E"/>
                <w:sz w:val="19"/>
                <w:szCs w:val="19"/>
              </w:rPr>
              <w:t>artifacts</w:t>
            </w:r>
            <w:proofErr w:type="spellEnd"/>
            <w:r>
              <w:rPr>
                <w:color w:val="1E1E1E"/>
                <w:sz w:val="19"/>
                <w:szCs w:val="19"/>
              </w:rPr>
              <w:t xml:space="preserve"> — voices, models, training sessions, temporary outputs — behind a consistent storage responsibility, independent of the filesystem-vs-database choice.</w:t>
            </w:r>
          </w:p>
        </w:tc>
        <w:tc>
          <w:tcPr>
            <w:tcW w:w="2560" w:type="dxa"/>
            <w:shd w:val="clear" w:color="auto" w:fill="D9EFE1"/>
            <w:tcMar>
              <w:top w:w="80" w:type="dxa"/>
              <w:left w:w="110" w:type="dxa"/>
              <w:bottom w:w="80" w:type="dxa"/>
              <w:right w:w="110" w:type="dxa"/>
            </w:tcMar>
            <w:vAlign w:val="center"/>
          </w:tcPr>
          <w:p w:rsidR="001E3785" w:rsidRDefault="00E75D8F">
            <w:pPr>
              <w:spacing w:line="250" w:lineRule="auto"/>
            </w:pPr>
            <w:r>
              <w:rPr>
                <w:b/>
                <w:bCs/>
                <w:color w:val="1C5E3F"/>
                <w:sz w:val="19"/>
                <w:szCs w:val="19"/>
              </w:rPr>
              <w:t>POSITIVE</w:t>
            </w:r>
          </w:p>
        </w:tc>
      </w:tr>
    </w:tbl>
    <w:p w:rsidR="001E3785" w:rsidRDefault="00E75D8F">
      <w:pPr>
        <w:spacing w:after="160" w:line="276" w:lineRule="auto"/>
      </w:pPr>
      <w:r>
        <w:rPr>
          <w:color w:val="222222"/>
        </w:rPr>
        <w:t>“Current State” above reflects the Stage 1 Analysis: Presentation, Application, and Storage responsibilities are already cleanly separated in the existing implementation. Domain, AI Processing, and Infrastructure responsibilities exist but are currently in</w:t>
      </w:r>
      <w:r>
        <w:rPr>
          <w:color w:val="222222"/>
        </w:rPr>
        <w:t>termixed within individual tab-handler functions rather than factored into distinct layers — this document's component definitions (§6) give each of those responsibilities an explicit architectural home without requiring the existing files to be reorganize</w:t>
      </w:r>
      <w:r>
        <w:rPr>
          <w:color w:val="222222"/>
        </w:rPr>
        <w:t>d.</w:t>
      </w:r>
    </w:p>
    <w:p w:rsidR="001E3785" w:rsidRDefault="00E75D8F">
      <w:pPr>
        <w:pStyle w:val="Heading2"/>
        <w:spacing w:before="320" w:after="140"/>
      </w:pPr>
      <w:r>
        <w:rPr>
          <w:b/>
          <w:bCs/>
          <w:color w:val="2E6E8E"/>
          <w:sz w:val="25"/>
          <w:szCs w:val="25"/>
        </w:rPr>
        <w:t>5.1 Presentation Layer</w:t>
      </w:r>
    </w:p>
    <w:p w:rsidR="001E3785" w:rsidRDefault="00E75D8F">
      <w:pPr>
        <w:spacing w:after="160" w:line="276" w:lineRule="auto"/>
      </w:pPr>
      <w:r>
        <w:rPr>
          <w:color w:val="222222"/>
        </w:rPr>
        <w:t>Responsible for all direct user interaction: rendering the eight functional tabs, collecting input (text, audio uploads, slider/dropdown selections), and displaying output (generated audio, status messages, saved-item lists). Delegates every decision beyon</w:t>
      </w:r>
      <w:r>
        <w:rPr>
          <w:color w:val="222222"/>
        </w:rPr>
        <w:t>d “how to display this” to the Application Layer.</w:t>
      </w:r>
    </w:p>
    <w:p w:rsidR="001E3785" w:rsidRDefault="00E75D8F">
      <w:pPr>
        <w:pStyle w:val="Heading2"/>
        <w:spacing w:before="320" w:after="140"/>
      </w:pPr>
      <w:r>
        <w:rPr>
          <w:b/>
          <w:bCs/>
          <w:color w:val="2E6E8E"/>
          <w:sz w:val="25"/>
          <w:szCs w:val="25"/>
        </w:rPr>
        <w:t>5.2 Application Layer</w:t>
      </w:r>
    </w:p>
    <w:p w:rsidR="001E3785" w:rsidRDefault="00E75D8F">
      <w:pPr>
        <w:spacing w:after="160" w:line="276" w:lineRule="auto"/>
      </w:pPr>
      <w:r>
        <w:rPr>
          <w:color w:val="222222"/>
        </w:rPr>
        <w:t>Responsible for orchestration: one handler per user-facing action, each responsible for validating input shape, calling into the Domain Layer for business-rule checks, invoking the app</w:t>
      </w:r>
      <w:r>
        <w:rPr>
          <w:color w:val="222222"/>
        </w:rPr>
        <w:t>ropriate AI Processing or Storage capability, and assembling a Presentation-ready response — including consistent, readable error messages when a downstream step fails (formalized further in §19).</w:t>
      </w:r>
    </w:p>
    <w:p w:rsidR="001E3785" w:rsidRDefault="00E75D8F">
      <w:pPr>
        <w:pStyle w:val="Heading2"/>
        <w:spacing w:before="320" w:after="140"/>
      </w:pPr>
      <w:r>
        <w:rPr>
          <w:b/>
          <w:bCs/>
          <w:color w:val="2E6E8E"/>
          <w:sz w:val="25"/>
          <w:szCs w:val="25"/>
        </w:rPr>
        <w:t>5.3 Domain Layer</w:t>
      </w:r>
    </w:p>
    <w:p w:rsidR="001E3785" w:rsidRDefault="00E75D8F">
      <w:pPr>
        <w:spacing w:after="160" w:line="276" w:lineRule="auto"/>
      </w:pPr>
      <w:r>
        <w:rPr>
          <w:color w:val="222222"/>
        </w:rPr>
        <w:t>Responsible for the system's core vocabula</w:t>
      </w:r>
      <w:r>
        <w:rPr>
          <w:color w:val="222222"/>
        </w:rPr>
        <w:t>ry, independent of UI or storage technology:</w:t>
      </w:r>
    </w:p>
    <w:p w:rsidR="001E3785" w:rsidRDefault="00E75D8F">
      <w:pPr>
        <w:pStyle w:val="ListParagraph"/>
        <w:numPr>
          <w:ilvl w:val="0"/>
          <w:numId w:val="2"/>
        </w:numPr>
        <w:spacing w:after="90" w:line="268" w:lineRule="auto"/>
      </w:pPr>
      <w:r>
        <w:t>Voice Profile — a named, reusable reference voice (reference audio + reference text + optional trained model).</w:t>
      </w:r>
    </w:p>
    <w:p w:rsidR="001E3785" w:rsidRDefault="00E75D8F">
      <w:pPr>
        <w:pStyle w:val="ListParagraph"/>
        <w:numPr>
          <w:ilvl w:val="0"/>
          <w:numId w:val="2"/>
        </w:numPr>
        <w:spacing w:after="90" w:line="268" w:lineRule="auto"/>
      </w:pPr>
      <w:r>
        <w:t>Script / Dialogue Line — a single attributed line of narration or dialogue, with an associated speak</w:t>
      </w:r>
      <w:r>
        <w:t>er and, where applicable, a pronunciation policy.</w:t>
      </w:r>
    </w:p>
    <w:p w:rsidR="001E3785" w:rsidRDefault="00E75D8F">
      <w:pPr>
        <w:pStyle w:val="ListParagraph"/>
        <w:numPr>
          <w:ilvl w:val="0"/>
          <w:numId w:val="2"/>
        </w:numPr>
        <w:spacing w:after="90" w:line="268" w:lineRule="auto"/>
      </w:pPr>
      <w:r>
        <w:t>Training Session — a bounded unit of raw audio submitted for the training pipeline, together with its derived, cleaned segments.</w:t>
      </w:r>
    </w:p>
    <w:p w:rsidR="001E3785" w:rsidRDefault="00E75D8F">
      <w:pPr>
        <w:pStyle w:val="ListParagraph"/>
        <w:numPr>
          <w:ilvl w:val="0"/>
          <w:numId w:val="2"/>
        </w:numPr>
        <w:spacing w:after="90" w:line="268" w:lineRule="auto"/>
      </w:pPr>
      <w:r>
        <w:t xml:space="preserve">Model </w:t>
      </w:r>
      <w:proofErr w:type="spellStart"/>
      <w:r>
        <w:t>Artifact</w:t>
      </w:r>
      <w:proofErr w:type="spellEnd"/>
      <w:r>
        <w:t xml:space="preserve"> — a trained or convertible voice model, its associated retriev</w:t>
      </w:r>
      <w:r>
        <w:t>al index (where applicable), and its provenance.</w:t>
      </w:r>
    </w:p>
    <w:p w:rsidR="001E3785" w:rsidRDefault="00E75D8F">
      <w:pPr>
        <w:pStyle w:val="ListParagraph"/>
        <w:numPr>
          <w:ilvl w:val="0"/>
          <w:numId w:val="2"/>
        </w:numPr>
        <w:spacing w:after="90" w:line="268" w:lineRule="auto"/>
      </w:pPr>
      <w:r>
        <w:t>Pronunciation Policy — the rule set determining whether a given piece of text requires native-language routing before voice generation (see §6.6, §12).</w:t>
      </w:r>
    </w:p>
    <w:p w:rsidR="001E3785" w:rsidRDefault="00E75D8F">
      <w:pPr>
        <w:pStyle w:val="Heading2"/>
        <w:spacing w:before="320" w:after="140"/>
      </w:pPr>
      <w:r>
        <w:rPr>
          <w:b/>
          <w:bCs/>
          <w:color w:val="2E6E8E"/>
          <w:sz w:val="25"/>
          <w:szCs w:val="25"/>
        </w:rPr>
        <w:t>5.4 AI Processing Layer</w:t>
      </w:r>
    </w:p>
    <w:p w:rsidR="001E3785" w:rsidRDefault="00E75D8F">
      <w:pPr>
        <w:spacing w:after="160" w:line="276" w:lineRule="auto"/>
      </w:pPr>
      <w:r>
        <w:rPr>
          <w:color w:val="222222"/>
        </w:rPr>
        <w:t>Responsible for producing or transforming audio and text through a specialized engine, behind a consistent responsibility boundary regardless of which underlying engine is used:</w:t>
      </w:r>
    </w:p>
    <w:p w:rsidR="001E3785" w:rsidRDefault="00E75D8F">
      <w:pPr>
        <w:pStyle w:val="ListParagraph"/>
        <w:numPr>
          <w:ilvl w:val="0"/>
          <w:numId w:val="2"/>
        </w:numPr>
        <w:spacing w:after="90" w:line="268" w:lineRule="auto"/>
      </w:pPr>
      <w:r>
        <w:t>Voice Generation — zero-shot and trained voice synthesis (existing engine: F5-</w:t>
      </w:r>
      <w:r>
        <w:t>TTS).</w:t>
      </w:r>
    </w:p>
    <w:p w:rsidR="001E3785" w:rsidRDefault="00E75D8F">
      <w:pPr>
        <w:pStyle w:val="ListParagraph"/>
        <w:numPr>
          <w:ilvl w:val="0"/>
          <w:numId w:val="2"/>
        </w:numPr>
        <w:spacing w:after="90" w:line="268" w:lineRule="auto"/>
      </w:pPr>
      <w:r>
        <w:lastRenderedPageBreak/>
        <w:t>Neural Narration — native-accent narration synthesis for non-cloned reference audio (existing engine: Edge-TTS).</w:t>
      </w:r>
    </w:p>
    <w:p w:rsidR="001E3785" w:rsidRDefault="00E75D8F">
      <w:pPr>
        <w:pStyle w:val="ListParagraph"/>
        <w:numPr>
          <w:ilvl w:val="0"/>
          <w:numId w:val="2"/>
        </w:numPr>
        <w:spacing w:after="90" w:line="268" w:lineRule="auto"/>
      </w:pPr>
      <w:r>
        <w:t>Voice Conversion — timbre transfer from one voice onto existing audio (existing engine: RVC, isolated runtime).</w:t>
      </w:r>
    </w:p>
    <w:p w:rsidR="001E3785" w:rsidRDefault="00E75D8F">
      <w:pPr>
        <w:pStyle w:val="ListParagraph"/>
        <w:numPr>
          <w:ilvl w:val="0"/>
          <w:numId w:val="2"/>
        </w:numPr>
        <w:spacing w:after="90" w:line="268" w:lineRule="auto"/>
      </w:pPr>
      <w:r>
        <w:t>Transcription — speech-to</w:t>
      </w:r>
      <w:r>
        <w:t>-text extraction for auto-populating reference text and for similarity analysis (existing engine: Whisper).</w:t>
      </w:r>
    </w:p>
    <w:p w:rsidR="001E3785" w:rsidRDefault="00E75D8F">
      <w:pPr>
        <w:pStyle w:val="ListParagraph"/>
        <w:numPr>
          <w:ilvl w:val="0"/>
          <w:numId w:val="2"/>
        </w:numPr>
        <w:spacing w:after="90" w:line="268" w:lineRule="auto"/>
      </w:pPr>
      <w:r>
        <w:t>Transliteration — script conversion between Roman and native orthography ahead of narration (existing engine: the project's own transliteration modu</w:t>
      </w:r>
      <w:r>
        <w:t>le).</w:t>
      </w:r>
    </w:p>
    <w:p w:rsidR="001E3785" w:rsidRDefault="00E75D8F">
      <w:pPr>
        <w:pStyle w:val="Heading2"/>
        <w:spacing w:before="320" w:after="140"/>
      </w:pPr>
      <w:r>
        <w:rPr>
          <w:b/>
          <w:bCs/>
          <w:color w:val="2E6E8E"/>
          <w:sz w:val="25"/>
          <w:szCs w:val="25"/>
        </w:rPr>
        <w:t>5.5 Infrastructure Layer</w:t>
      </w:r>
    </w:p>
    <w:p w:rsidR="001E3785" w:rsidRDefault="00E75D8F">
      <w:pPr>
        <w:spacing w:after="160" w:line="276" w:lineRule="auto"/>
      </w:pPr>
      <w:r>
        <w:rPr>
          <w:color w:val="222222"/>
        </w:rPr>
        <w:t>Responsible for the technical mechanics that let the layers above function without themselves knowing about processes, runtimes, or file handles: subprocess lifecycle management, coordination across the primary and RVC-isolate</w:t>
      </w:r>
      <w:r>
        <w:rPr>
          <w:color w:val="222222"/>
        </w:rPr>
        <w:t>d runtimes, and file I/O primitives. This layer is also where the designed Logging and Monitoring extensions (§16, §17) attach, since both are cross-cutting infrastructure concerns rather than business logic.</w:t>
      </w:r>
    </w:p>
    <w:p w:rsidR="001E3785" w:rsidRDefault="00E75D8F">
      <w:pPr>
        <w:pStyle w:val="Heading2"/>
        <w:spacing w:before="320" w:after="140"/>
      </w:pPr>
      <w:r>
        <w:rPr>
          <w:b/>
          <w:bCs/>
          <w:color w:val="2E6E8E"/>
          <w:sz w:val="25"/>
          <w:szCs w:val="25"/>
        </w:rPr>
        <w:t>5.6 Storage Layer</w:t>
      </w:r>
    </w:p>
    <w:p w:rsidR="001E3785" w:rsidRDefault="00E75D8F">
      <w:pPr>
        <w:spacing w:after="160" w:line="276" w:lineRule="auto"/>
      </w:pPr>
      <w:r>
        <w:rPr>
          <w:color w:val="222222"/>
        </w:rPr>
        <w:t>Responsible for durable persi</w:t>
      </w:r>
      <w:r>
        <w:rPr>
          <w:color w:val="222222"/>
        </w:rPr>
        <w:t xml:space="preserve">stence of every </w:t>
      </w:r>
      <w:proofErr w:type="spellStart"/>
      <w:r>
        <w:rPr>
          <w:color w:val="222222"/>
        </w:rPr>
        <w:t>artifact</w:t>
      </w:r>
      <w:proofErr w:type="spellEnd"/>
      <w:r>
        <w:rPr>
          <w:color w:val="222222"/>
        </w:rPr>
        <w:t xml:space="preserve"> the system produces or consumes, structured as four logical stores (detailed in §14): </w:t>
      </w:r>
      <w:proofErr w:type="gramStart"/>
      <w:r>
        <w:rPr>
          <w:color w:val="222222"/>
        </w:rPr>
        <w:t>the</w:t>
      </w:r>
      <w:proofErr w:type="gramEnd"/>
      <w:r>
        <w:rPr>
          <w:color w:val="222222"/>
        </w:rPr>
        <w:t xml:space="preserve"> Voice Store, the Model Store, the Training Store, and the Temp/Cache Store. The current implementation realizes all four as plain filesystem </w:t>
      </w:r>
      <w:r>
        <w:rPr>
          <w:color w:val="222222"/>
        </w:rPr>
        <w:t>directories — an appropriate realization for the system's current single-tenant profile, retained as-is by this design (see §22 for the explicit decision rationale).</w:t>
      </w:r>
    </w:p>
    <w:p w:rsidR="001E3785" w:rsidRDefault="00E75D8F">
      <w:r>
        <w:br w:type="page"/>
      </w:r>
    </w:p>
    <w:p w:rsidR="001E3785" w:rsidRDefault="00E75D8F">
      <w:pPr>
        <w:pStyle w:val="Heading1"/>
        <w:pBdr>
          <w:bottom w:val="single" w:sz="8" w:space="4" w:color="2E6E8E"/>
        </w:pBdr>
        <w:spacing w:before="420" w:after="200"/>
      </w:pPr>
      <w:r>
        <w:rPr>
          <w:b/>
          <w:bCs/>
          <w:color w:val="1B2A4A"/>
          <w:sz w:val="30"/>
          <w:szCs w:val="30"/>
        </w:rPr>
        <w:lastRenderedPageBreak/>
        <w:t>6. Component Architecture</w:t>
      </w:r>
    </w:p>
    <w:p w:rsidR="001E3785" w:rsidRDefault="00E75D8F">
      <w:pPr>
        <w:spacing w:after="160" w:line="276" w:lineRule="auto"/>
      </w:pPr>
      <w:r>
        <w:rPr>
          <w:color w:val="222222"/>
        </w:rPr>
        <w:t>This section defines each major component's responsibility, it</w:t>
      </w:r>
      <w:r>
        <w:rPr>
          <w:color w:val="222222"/>
        </w:rPr>
        <w:t>s primary collaborators, and its current implementation status. Components are described purely in terms of responsibility and collaboration — no interfaces, method signatures, or algorithms are specified, consistent with this document's design-only scope.</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7100"/>
        <w:gridCol w:w="2260"/>
      </w:tblGrid>
      <w:tr w:rsidR="001E3785">
        <w:tblPrEx>
          <w:tblCellMar>
            <w:top w:w="0" w:type="dxa"/>
            <w:bottom w:w="0" w:type="dxa"/>
          </w:tblCellMar>
        </w:tblPrEx>
        <w:trPr>
          <w:tblHeader/>
        </w:trPr>
        <w:tc>
          <w:tcPr>
            <w:tcW w:w="71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Component</w:t>
            </w:r>
          </w:p>
        </w:tc>
        <w:tc>
          <w:tcPr>
            <w:tcW w:w="226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Status</w:t>
            </w:r>
          </w:p>
        </w:tc>
      </w:tr>
      <w:tr w:rsidR="001E3785">
        <w:tblPrEx>
          <w:tblCellMar>
            <w:top w:w="0" w:type="dxa"/>
            <w:bottom w:w="0" w:type="dxa"/>
          </w:tblCellMar>
        </w:tblPrEx>
        <w:tc>
          <w:tcPr>
            <w:tcW w:w="7100" w:type="dxa"/>
            <w:tcMar>
              <w:top w:w="80" w:type="dxa"/>
              <w:left w:w="110" w:type="dxa"/>
              <w:bottom w:w="80" w:type="dxa"/>
              <w:right w:w="110" w:type="dxa"/>
            </w:tcMar>
            <w:vAlign w:val="center"/>
          </w:tcPr>
          <w:p w:rsidR="001E3785" w:rsidRDefault="00E75D8F">
            <w:pPr>
              <w:spacing w:line="250" w:lineRule="auto"/>
            </w:pPr>
            <w:r>
              <w:rPr>
                <w:color w:val="1E1E1E"/>
                <w:sz w:val="19"/>
                <w:szCs w:val="19"/>
              </w:rPr>
              <w:t>User Interface</w:t>
            </w:r>
          </w:p>
        </w:tc>
        <w:tc>
          <w:tcPr>
            <w:tcW w:w="2260" w:type="dxa"/>
            <w:shd w:val="clear" w:color="auto" w:fill="D9EFE1"/>
            <w:tcMar>
              <w:top w:w="80" w:type="dxa"/>
              <w:left w:w="110" w:type="dxa"/>
              <w:bottom w:w="80" w:type="dxa"/>
              <w:right w:w="110" w:type="dxa"/>
            </w:tcMar>
            <w:vAlign w:val="center"/>
          </w:tcPr>
          <w:p w:rsidR="001E3785" w:rsidRDefault="00E75D8F">
            <w:pPr>
              <w:spacing w:line="250" w:lineRule="auto"/>
            </w:pPr>
            <w:r>
              <w:rPr>
                <w:b/>
                <w:bCs/>
                <w:color w:val="1C5E3F"/>
                <w:sz w:val="19"/>
                <w:szCs w:val="19"/>
              </w:rPr>
              <w:t>POSITIVE</w:t>
            </w:r>
          </w:p>
        </w:tc>
      </w:tr>
      <w:tr w:rsidR="001E3785">
        <w:tblPrEx>
          <w:tblCellMar>
            <w:top w:w="0" w:type="dxa"/>
            <w:bottom w:w="0" w:type="dxa"/>
          </w:tblCellMar>
        </w:tblPrEx>
        <w:tc>
          <w:tcPr>
            <w:tcW w:w="71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Voice Generation</w:t>
            </w:r>
          </w:p>
        </w:tc>
        <w:tc>
          <w:tcPr>
            <w:tcW w:w="2260" w:type="dxa"/>
            <w:shd w:val="clear" w:color="auto" w:fill="D9EFE1"/>
            <w:tcMar>
              <w:top w:w="80" w:type="dxa"/>
              <w:left w:w="110" w:type="dxa"/>
              <w:bottom w:w="80" w:type="dxa"/>
              <w:right w:w="110" w:type="dxa"/>
            </w:tcMar>
            <w:vAlign w:val="center"/>
          </w:tcPr>
          <w:p w:rsidR="001E3785" w:rsidRDefault="00E75D8F">
            <w:pPr>
              <w:spacing w:line="250" w:lineRule="auto"/>
            </w:pPr>
            <w:r>
              <w:rPr>
                <w:b/>
                <w:bCs/>
                <w:color w:val="1C5E3F"/>
                <w:sz w:val="19"/>
                <w:szCs w:val="19"/>
              </w:rPr>
              <w:t>POSITIVE</w:t>
            </w:r>
          </w:p>
        </w:tc>
      </w:tr>
      <w:tr w:rsidR="001E3785">
        <w:tblPrEx>
          <w:tblCellMar>
            <w:top w:w="0" w:type="dxa"/>
            <w:bottom w:w="0" w:type="dxa"/>
          </w:tblCellMar>
        </w:tblPrEx>
        <w:tc>
          <w:tcPr>
            <w:tcW w:w="7100" w:type="dxa"/>
            <w:tcMar>
              <w:top w:w="80" w:type="dxa"/>
              <w:left w:w="110" w:type="dxa"/>
              <w:bottom w:w="80" w:type="dxa"/>
              <w:right w:w="110" w:type="dxa"/>
            </w:tcMar>
            <w:vAlign w:val="center"/>
          </w:tcPr>
          <w:p w:rsidR="001E3785" w:rsidRDefault="00E75D8F">
            <w:pPr>
              <w:spacing w:line="250" w:lineRule="auto"/>
            </w:pPr>
            <w:r>
              <w:rPr>
                <w:color w:val="1E1E1E"/>
                <w:sz w:val="19"/>
                <w:szCs w:val="19"/>
              </w:rPr>
              <w:t>Podcast Engine</w:t>
            </w:r>
          </w:p>
        </w:tc>
        <w:tc>
          <w:tcPr>
            <w:tcW w:w="2260" w:type="dxa"/>
            <w:shd w:val="clear" w:color="auto" w:fill="FFF3CD"/>
            <w:tcMar>
              <w:top w:w="80" w:type="dxa"/>
              <w:left w:w="110" w:type="dxa"/>
              <w:bottom w:w="80" w:type="dxa"/>
              <w:right w:w="110" w:type="dxa"/>
            </w:tcMar>
            <w:vAlign w:val="center"/>
          </w:tcPr>
          <w:p w:rsidR="001E3785" w:rsidRDefault="00E75D8F">
            <w:pPr>
              <w:spacing w:line="250" w:lineRule="auto"/>
            </w:pPr>
            <w:r>
              <w:rPr>
                <w:b/>
                <w:bCs/>
                <w:color w:val="6B5300"/>
                <w:sz w:val="19"/>
                <w:szCs w:val="19"/>
              </w:rPr>
              <w:t>MEDIUM</w:t>
            </w:r>
          </w:p>
        </w:tc>
      </w:tr>
      <w:tr w:rsidR="001E3785">
        <w:tblPrEx>
          <w:tblCellMar>
            <w:top w:w="0" w:type="dxa"/>
            <w:bottom w:w="0" w:type="dxa"/>
          </w:tblCellMar>
        </w:tblPrEx>
        <w:tc>
          <w:tcPr>
            <w:tcW w:w="71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Pronunciation Routing</w:t>
            </w:r>
          </w:p>
        </w:tc>
        <w:tc>
          <w:tcPr>
            <w:tcW w:w="2260" w:type="dxa"/>
            <w:shd w:val="clear" w:color="auto" w:fill="FDE6D2"/>
            <w:tcMar>
              <w:top w:w="80" w:type="dxa"/>
              <w:left w:w="110" w:type="dxa"/>
              <w:bottom w:w="80" w:type="dxa"/>
              <w:right w:w="110" w:type="dxa"/>
            </w:tcMar>
            <w:vAlign w:val="center"/>
          </w:tcPr>
          <w:p w:rsidR="001E3785" w:rsidRDefault="00E75D8F">
            <w:pPr>
              <w:spacing w:line="250" w:lineRule="auto"/>
            </w:pPr>
            <w:r>
              <w:rPr>
                <w:b/>
                <w:bCs/>
                <w:color w:val="8A4A0F"/>
                <w:sz w:val="19"/>
                <w:szCs w:val="19"/>
              </w:rPr>
              <w:t>HIGH</w:t>
            </w:r>
          </w:p>
        </w:tc>
      </w:tr>
      <w:tr w:rsidR="001E3785">
        <w:tblPrEx>
          <w:tblCellMar>
            <w:top w:w="0" w:type="dxa"/>
            <w:bottom w:w="0" w:type="dxa"/>
          </w:tblCellMar>
        </w:tblPrEx>
        <w:tc>
          <w:tcPr>
            <w:tcW w:w="7100" w:type="dxa"/>
            <w:tcMar>
              <w:top w:w="80" w:type="dxa"/>
              <w:left w:w="110" w:type="dxa"/>
              <w:bottom w:w="80" w:type="dxa"/>
              <w:right w:w="110" w:type="dxa"/>
            </w:tcMar>
            <w:vAlign w:val="center"/>
          </w:tcPr>
          <w:p w:rsidR="001E3785" w:rsidRDefault="00E75D8F">
            <w:pPr>
              <w:spacing w:line="250" w:lineRule="auto"/>
            </w:pPr>
            <w:r>
              <w:rPr>
                <w:color w:val="1E1E1E"/>
                <w:sz w:val="19"/>
                <w:szCs w:val="19"/>
              </w:rPr>
              <w:t>AI Training Pipeline</w:t>
            </w:r>
          </w:p>
        </w:tc>
        <w:tc>
          <w:tcPr>
            <w:tcW w:w="2260" w:type="dxa"/>
            <w:shd w:val="clear" w:color="auto" w:fill="FFF3CD"/>
            <w:tcMar>
              <w:top w:w="80" w:type="dxa"/>
              <w:left w:w="110" w:type="dxa"/>
              <w:bottom w:w="80" w:type="dxa"/>
              <w:right w:w="110" w:type="dxa"/>
            </w:tcMar>
            <w:vAlign w:val="center"/>
          </w:tcPr>
          <w:p w:rsidR="001E3785" w:rsidRDefault="00E75D8F">
            <w:pPr>
              <w:spacing w:line="250" w:lineRule="auto"/>
            </w:pPr>
            <w:r>
              <w:rPr>
                <w:b/>
                <w:bCs/>
                <w:color w:val="6B5300"/>
                <w:sz w:val="19"/>
                <w:szCs w:val="19"/>
              </w:rPr>
              <w:t>MEDIUM</w:t>
            </w:r>
          </w:p>
        </w:tc>
      </w:tr>
      <w:tr w:rsidR="001E3785">
        <w:tblPrEx>
          <w:tblCellMar>
            <w:top w:w="0" w:type="dxa"/>
            <w:bottom w:w="0" w:type="dxa"/>
          </w:tblCellMar>
        </w:tblPrEx>
        <w:tc>
          <w:tcPr>
            <w:tcW w:w="71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Audio Processing</w:t>
            </w:r>
          </w:p>
        </w:tc>
        <w:tc>
          <w:tcPr>
            <w:tcW w:w="2260" w:type="dxa"/>
            <w:shd w:val="clear" w:color="auto" w:fill="D9EFE1"/>
            <w:tcMar>
              <w:top w:w="80" w:type="dxa"/>
              <w:left w:w="110" w:type="dxa"/>
              <w:bottom w:w="80" w:type="dxa"/>
              <w:right w:w="110" w:type="dxa"/>
            </w:tcMar>
            <w:vAlign w:val="center"/>
          </w:tcPr>
          <w:p w:rsidR="001E3785" w:rsidRDefault="00E75D8F">
            <w:pPr>
              <w:spacing w:line="250" w:lineRule="auto"/>
            </w:pPr>
            <w:r>
              <w:rPr>
                <w:b/>
                <w:bCs/>
                <w:color w:val="1C5E3F"/>
                <w:sz w:val="19"/>
                <w:szCs w:val="19"/>
              </w:rPr>
              <w:t>POSITIVE</w:t>
            </w:r>
          </w:p>
        </w:tc>
      </w:tr>
      <w:tr w:rsidR="001E3785">
        <w:tblPrEx>
          <w:tblCellMar>
            <w:top w:w="0" w:type="dxa"/>
            <w:bottom w:w="0" w:type="dxa"/>
          </w:tblCellMar>
        </w:tblPrEx>
        <w:tc>
          <w:tcPr>
            <w:tcW w:w="7100" w:type="dxa"/>
            <w:tcMar>
              <w:top w:w="80" w:type="dxa"/>
              <w:left w:w="110" w:type="dxa"/>
              <w:bottom w:w="80" w:type="dxa"/>
              <w:right w:w="110" w:type="dxa"/>
            </w:tcMar>
            <w:vAlign w:val="center"/>
          </w:tcPr>
          <w:p w:rsidR="001E3785" w:rsidRDefault="00E75D8F">
            <w:pPr>
              <w:spacing w:line="250" w:lineRule="auto"/>
            </w:pPr>
            <w:r>
              <w:rPr>
                <w:color w:val="1E1E1E"/>
                <w:sz w:val="19"/>
                <w:szCs w:val="19"/>
              </w:rPr>
              <w:t>Dataset Management</w:t>
            </w:r>
          </w:p>
        </w:tc>
        <w:tc>
          <w:tcPr>
            <w:tcW w:w="2260" w:type="dxa"/>
            <w:shd w:val="clear" w:color="auto" w:fill="FFF3CD"/>
            <w:tcMar>
              <w:top w:w="80" w:type="dxa"/>
              <w:left w:w="110" w:type="dxa"/>
              <w:bottom w:w="80" w:type="dxa"/>
              <w:right w:w="110" w:type="dxa"/>
            </w:tcMar>
            <w:vAlign w:val="center"/>
          </w:tcPr>
          <w:p w:rsidR="001E3785" w:rsidRDefault="00E75D8F">
            <w:pPr>
              <w:spacing w:line="250" w:lineRule="auto"/>
            </w:pPr>
            <w:r>
              <w:rPr>
                <w:b/>
                <w:bCs/>
                <w:color w:val="6B5300"/>
                <w:sz w:val="19"/>
                <w:szCs w:val="19"/>
              </w:rPr>
              <w:t>MEDIUM</w:t>
            </w:r>
          </w:p>
        </w:tc>
      </w:tr>
      <w:tr w:rsidR="001E3785">
        <w:tblPrEx>
          <w:tblCellMar>
            <w:top w:w="0" w:type="dxa"/>
            <w:bottom w:w="0" w:type="dxa"/>
          </w:tblCellMar>
        </w:tblPrEx>
        <w:tc>
          <w:tcPr>
            <w:tcW w:w="71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Model Management</w:t>
            </w:r>
          </w:p>
        </w:tc>
        <w:tc>
          <w:tcPr>
            <w:tcW w:w="2260" w:type="dxa"/>
            <w:shd w:val="clear" w:color="auto" w:fill="FFF3CD"/>
            <w:tcMar>
              <w:top w:w="80" w:type="dxa"/>
              <w:left w:w="110" w:type="dxa"/>
              <w:bottom w:w="80" w:type="dxa"/>
              <w:right w:w="110" w:type="dxa"/>
            </w:tcMar>
            <w:vAlign w:val="center"/>
          </w:tcPr>
          <w:p w:rsidR="001E3785" w:rsidRDefault="00E75D8F">
            <w:pPr>
              <w:spacing w:line="250" w:lineRule="auto"/>
            </w:pPr>
            <w:r>
              <w:rPr>
                <w:b/>
                <w:bCs/>
                <w:color w:val="6B5300"/>
                <w:sz w:val="19"/>
                <w:szCs w:val="19"/>
              </w:rPr>
              <w:t>MEDIUM</w:t>
            </w:r>
          </w:p>
        </w:tc>
      </w:tr>
      <w:tr w:rsidR="001E3785">
        <w:tblPrEx>
          <w:tblCellMar>
            <w:top w:w="0" w:type="dxa"/>
            <w:bottom w:w="0" w:type="dxa"/>
          </w:tblCellMar>
        </w:tblPrEx>
        <w:tc>
          <w:tcPr>
            <w:tcW w:w="7100" w:type="dxa"/>
            <w:tcMar>
              <w:top w:w="80" w:type="dxa"/>
              <w:left w:w="110" w:type="dxa"/>
              <w:bottom w:w="80" w:type="dxa"/>
              <w:right w:w="110" w:type="dxa"/>
            </w:tcMar>
            <w:vAlign w:val="center"/>
          </w:tcPr>
          <w:p w:rsidR="001E3785" w:rsidRDefault="00E75D8F">
            <w:pPr>
              <w:spacing w:line="250" w:lineRule="auto"/>
            </w:pPr>
            <w:r>
              <w:rPr>
                <w:color w:val="1E1E1E"/>
                <w:sz w:val="19"/>
                <w:szCs w:val="19"/>
              </w:rPr>
              <w:t>Storage</w:t>
            </w:r>
          </w:p>
        </w:tc>
        <w:tc>
          <w:tcPr>
            <w:tcW w:w="2260" w:type="dxa"/>
            <w:shd w:val="clear" w:color="auto" w:fill="D9EFE1"/>
            <w:tcMar>
              <w:top w:w="80" w:type="dxa"/>
              <w:left w:w="110" w:type="dxa"/>
              <w:bottom w:w="80" w:type="dxa"/>
              <w:right w:w="110" w:type="dxa"/>
            </w:tcMar>
            <w:vAlign w:val="center"/>
          </w:tcPr>
          <w:p w:rsidR="001E3785" w:rsidRDefault="00E75D8F">
            <w:pPr>
              <w:spacing w:line="250" w:lineRule="auto"/>
            </w:pPr>
            <w:r>
              <w:rPr>
                <w:b/>
                <w:bCs/>
                <w:color w:val="1C5E3F"/>
                <w:sz w:val="19"/>
                <w:szCs w:val="19"/>
              </w:rPr>
              <w:t>POSITIVE</w:t>
            </w:r>
          </w:p>
        </w:tc>
      </w:tr>
      <w:tr w:rsidR="001E3785">
        <w:tblPrEx>
          <w:tblCellMar>
            <w:top w:w="0" w:type="dxa"/>
            <w:bottom w:w="0" w:type="dxa"/>
          </w:tblCellMar>
        </w:tblPrEx>
        <w:tc>
          <w:tcPr>
            <w:tcW w:w="71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Logging</w:t>
            </w:r>
          </w:p>
        </w:tc>
        <w:tc>
          <w:tcPr>
            <w:tcW w:w="2260" w:type="dxa"/>
            <w:shd w:val="clear" w:color="auto" w:fill="FDE6D2"/>
            <w:tcMar>
              <w:top w:w="80" w:type="dxa"/>
              <w:left w:w="110" w:type="dxa"/>
              <w:bottom w:w="80" w:type="dxa"/>
              <w:right w:w="110" w:type="dxa"/>
            </w:tcMar>
            <w:vAlign w:val="center"/>
          </w:tcPr>
          <w:p w:rsidR="001E3785" w:rsidRDefault="00E75D8F">
            <w:pPr>
              <w:spacing w:line="250" w:lineRule="auto"/>
            </w:pPr>
            <w:r>
              <w:rPr>
                <w:b/>
                <w:bCs/>
                <w:color w:val="8A4A0F"/>
                <w:sz w:val="19"/>
                <w:szCs w:val="19"/>
              </w:rPr>
              <w:t>HIGH</w:t>
            </w:r>
          </w:p>
        </w:tc>
      </w:tr>
      <w:tr w:rsidR="001E3785">
        <w:tblPrEx>
          <w:tblCellMar>
            <w:top w:w="0" w:type="dxa"/>
            <w:bottom w:w="0" w:type="dxa"/>
          </w:tblCellMar>
        </w:tblPrEx>
        <w:tc>
          <w:tcPr>
            <w:tcW w:w="7100" w:type="dxa"/>
            <w:tcMar>
              <w:top w:w="80" w:type="dxa"/>
              <w:left w:w="110" w:type="dxa"/>
              <w:bottom w:w="80" w:type="dxa"/>
              <w:right w:w="110" w:type="dxa"/>
            </w:tcMar>
            <w:vAlign w:val="center"/>
          </w:tcPr>
          <w:p w:rsidR="001E3785" w:rsidRDefault="00E75D8F">
            <w:pPr>
              <w:spacing w:line="250" w:lineRule="auto"/>
            </w:pPr>
            <w:r>
              <w:rPr>
                <w:color w:val="1E1E1E"/>
                <w:sz w:val="19"/>
                <w:szCs w:val="19"/>
              </w:rPr>
              <w:t>Monitoring</w:t>
            </w:r>
          </w:p>
        </w:tc>
        <w:tc>
          <w:tcPr>
            <w:tcW w:w="2260" w:type="dxa"/>
            <w:shd w:val="clear" w:color="auto" w:fill="FDE6D2"/>
            <w:tcMar>
              <w:top w:w="80" w:type="dxa"/>
              <w:left w:w="110" w:type="dxa"/>
              <w:bottom w:w="80" w:type="dxa"/>
              <w:right w:w="110" w:type="dxa"/>
            </w:tcMar>
            <w:vAlign w:val="center"/>
          </w:tcPr>
          <w:p w:rsidR="001E3785" w:rsidRDefault="00E75D8F">
            <w:pPr>
              <w:spacing w:line="250" w:lineRule="auto"/>
            </w:pPr>
            <w:r>
              <w:rPr>
                <w:b/>
                <w:bCs/>
                <w:color w:val="8A4A0F"/>
                <w:sz w:val="19"/>
                <w:szCs w:val="19"/>
              </w:rPr>
              <w:t>HIGH</w:t>
            </w:r>
          </w:p>
        </w:tc>
      </w:tr>
    </w:tbl>
    <w:p w:rsidR="001E3785" w:rsidRDefault="00E75D8F">
      <w:pPr>
        <w:spacing w:after="160" w:line="276" w:lineRule="auto"/>
      </w:pPr>
      <w:r>
        <w:rPr>
          <w:color w:val="222222"/>
        </w:rPr>
        <w:t>Status legend: Positive — the component is implemented and structurally sound as designed. Medium — the component exists but only partially realizes its designed responsibility. High — the component is a designed target with little or no current implementa</w:t>
      </w:r>
      <w:r>
        <w:rPr>
          <w:color w:val="222222"/>
        </w:rPr>
        <w:t xml:space="preserve">tion. </w:t>
      </w:r>
      <w:proofErr w:type="gramStart"/>
      <w:r>
        <w:rPr>
          <w:color w:val="222222"/>
        </w:rPr>
        <w:t>This mirrors</w:t>
      </w:r>
      <w:proofErr w:type="gramEnd"/>
      <w:r>
        <w:rPr>
          <w:color w:val="222222"/>
        </w:rPr>
        <w:t>, and does not re-derive, the severity findings already recorded in the Stage 1 Analysis.</w:t>
      </w:r>
    </w:p>
    <w:p w:rsidR="001E3785" w:rsidRDefault="00E75D8F">
      <w:pPr>
        <w:pStyle w:val="Heading3"/>
        <w:spacing w:before="240" w:after="100"/>
      </w:pPr>
      <w:r>
        <w:rPr>
          <w:b/>
          <w:bCs/>
          <w:color w:val="1E7B6E"/>
          <w:sz w:val="22"/>
          <w:szCs w:val="22"/>
        </w:rPr>
        <w:t>6.1 User Interface</w:t>
      </w:r>
    </w:p>
    <w:p w:rsidR="001E3785" w:rsidRDefault="00E75D8F">
      <w:pPr>
        <w:spacing w:after="160" w:line="276" w:lineRule="auto"/>
      </w:pPr>
      <w:r>
        <w:rPr>
          <w:color w:val="222222"/>
        </w:rPr>
        <w:t>Responsibility: present the system's eight functional areas as independently navigable tabs, collect well-formed input, and rende</w:t>
      </w:r>
      <w:r>
        <w:rPr>
          <w:color w:val="222222"/>
        </w:rPr>
        <w:t>r output and status feedback. Collaborators: Application Layer (all handlers). Design note: the existing tab-per-capability structure is retained unchanged; any new capability introduced by this design (e.g. a first-class Pronunciation Routing control surf</w:t>
      </w:r>
      <w:r>
        <w:rPr>
          <w:color w:val="222222"/>
        </w:rPr>
        <w:t>ace) should be exposed as an additional tab or as a control within an existing tab, following the same pattern, rather than a new UI paradigm.</w:t>
      </w:r>
    </w:p>
    <w:p w:rsidR="001E3785" w:rsidRDefault="00E75D8F">
      <w:pPr>
        <w:pStyle w:val="Heading3"/>
        <w:spacing w:before="240" w:after="100"/>
      </w:pPr>
      <w:r>
        <w:rPr>
          <w:b/>
          <w:bCs/>
          <w:color w:val="1E7B6E"/>
          <w:sz w:val="22"/>
          <w:szCs w:val="22"/>
        </w:rPr>
        <w:t>6.2 Voice Generation</w:t>
      </w:r>
    </w:p>
    <w:p w:rsidR="001E3785" w:rsidRDefault="00E75D8F">
      <w:pPr>
        <w:spacing w:after="160" w:line="276" w:lineRule="auto"/>
      </w:pPr>
      <w:r>
        <w:rPr>
          <w:color w:val="222222"/>
        </w:rPr>
        <w:t>Responsibility: given a reference voice (or a trained model) and target text, produce synthe</w:t>
      </w:r>
      <w:r>
        <w:rPr>
          <w:color w:val="222222"/>
        </w:rPr>
        <w:t>sized audio in that voice. Collaborators: AI Processing Layer (Voice Generation engine), Storage Layer (Voice Store, Temp Store), and — when invoked as part of the hybrid pronunciation path — Pronunciation Routing. This is the single most heavily depended-</w:t>
      </w:r>
      <w:r>
        <w:rPr>
          <w:color w:val="222222"/>
        </w:rPr>
        <w:t xml:space="preserve">upon component in the system: </w:t>
      </w:r>
      <w:proofErr w:type="gramStart"/>
      <w:r>
        <w:rPr>
          <w:color w:val="222222"/>
        </w:rPr>
        <w:t>the</w:t>
      </w:r>
      <w:proofErr w:type="gramEnd"/>
      <w:r>
        <w:rPr>
          <w:color w:val="222222"/>
        </w:rPr>
        <w:t xml:space="preserve"> Podcast Engine, the Audio Processing component's “replace” operation, and Pronunciation Routing's re-voicing step all collaborate with it.</w:t>
      </w:r>
    </w:p>
    <w:p w:rsidR="001E3785" w:rsidRDefault="00E75D8F">
      <w:pPr>
        <w:pStyle w:val="Heading3"/>
        <w:spacing w:before="240" w:after="100"/>
      </w:pPr>
      <w:r>
        <w:rPr>
          <w:b/>
          <w:bCs/>
          <w:color w:val="1E7B6E"/>
          <w:sz w:val="22"/>
          <w:szCs w:val="22"/>
        </w:rPr>
        <w:t>6.3 Podcast Engine</w:t>
      </w:r>
    </w:p>
    <w:p w:rsidR="001E3785" w:rsidRDefault="00E75D8F">
      <w:pPr>
        <w:spacing w:after="160" w:line="276" w:lineRule="auto"/>
      </w:pPr>
      <w:r>
        <w:rPr>
          <w:color w:val="222222"/>
        </w:rPr>
        <w:t>Responsibility: parse a multi-speaker script into attributed lin</w:t>
      </w:r>
      <w:r>
        <w:rPr>
          <w:color w:val="222222"/>
        </w:rPr>
        <w:t xml:space="preserve">es, resolve each line to a Voice Profile, invoke Voice Generation per line, and assemble the results into a single continuous audio </w:t>
      </w:r>
      <w:proofErr w:type="spellStart"/>
      <w:r>
        <w:rPr>
          <w:color w:val="222222"/>
        </w:rPr>
        <w:t>artifact</w:t>
      </w:r>
      <w:proofErr w:type="spellEnd"/>
      <w:r>
        <w:rPr>
          <w:color w:val="222222"/>
        </w:rPr>
        <w:t xml:space="preserve"> with natural-</w:t>
      </w:r>
      <w:r>
        <w:rPr>
          <w:color w:val="222222"/>
        </w:rPr>
        <w:lastRenderedPageBreak/>
        <w:t xml:space="preserve">sounding transitions between lines. Collaborators: Domain Layer (Script/Dialogue Line), Pronunciation </w:t>
      </w:r>
      <w:r>
        <w:rPr>
          <w:color w:val="222222"/>
        </w:rPr>
        <w:t>Routing (for every line, not only ones a user manually flags), Voice Generation, Storage Layer. Design requirement carried from the Stage 1 Analysis: every line passed to Voice Generation by this component must first pass through Pronunciation Routing's po</w:t>
      </w:r>
      <w:r>
        <w:rPr>
          <w:color w:val="222222"/>
        </w:rPr>
        <w:t>licy check — today this collaboration does not occur, which is the design gap §6.4 and §12 exist to close.</w:t>
      </w:r>
    </w:p>
    <w:p w:rsidR="001E3785" w:rsidRDefault="00E75D8F">
      <w:pPr>
        <w:pStyle w:val="Heading3"/>
        <w:spacing w:before="240" w:after="100"/>
      </w:pPr>
      <w:r>
        <w:rPr>
          <w:b/>
          <w:bCs/>
          <w:color w:val="1E7B6E"/>
          <w:sz w:val="22"/>
          <w:szCs w:val="22"/>
        </w:rPr>
        <w:t>6.4 Pronunciation Routing</w:t>
      </w:r>
    </w:p>
    <w:p w:rsidR="001E3785" w:rsidRDefault="00E75D8F">
      <w:pPr>
        <w:spacing w:after="160" w:line="276" w:lineRule="auto"/>
      </w:pPr>
      <w:r>
        <w:rPr>
          <w:color w:val="222222"/>
        </w:rPr>
        <w:t>Responsibility: given a line of text, determine whether it requires native-language routing before voice generation, and if</w:t>
      </w:r>
      <w:r>
        <w:rPr>
          <w:color w:val="222222"/>
        </w:rPr>
        <w:t xml:space="preserve"> so, coordinate the two-step hybrid process (native narration, then voice conversion) rather than direct cloning. Collaborators: Domain Layer (Pronunciation Policy), AI Processing Layer (Neural Narration engine, Voice Conversion engine, Transliteration eng</w:t>
      </w:r>
      <w:r>
        <w:rPr>
          <w:color w:val="222222"/>
        </w:rPr>
        <w:t xml:space="preserve">ine), Voice Generation. This is designed as a first-class component precisely because it is currently realized only as an isolated, disconnected capability (per the Stage 1 Analysis) rather than as a service the Podcast Engine and Voice Cloner both </w:t>
      </w:r>
      <w:proofErr w:type="gramStart"/>
      <w:r>
        <w:rPr>
          <w:color w:val="222222"/>
        </w:rPr>
        <w:t>consult</w:t>
      </w:r>
      <w:proofErr w:type="gramEnd"/>
      <w:r>
        <w:rPr>
          <w:color w:val="222222"/>
        </w:rPr>
        <w:t>. §12 details its internal decision flow.</w:t>
      </w:r>
    </w:p>
    <w:p w:rsidR="001E3785" w:rsidRDefault="00E75D8F">
      <w:pPr>
        <w:pStyle w:val="Heading3"/>
        <w:spacing w:before="240" w:after="100"/>
      </w:pPr>
      <w:r>
        <w:rPr>
          <w:b/>
          <w:bCs/>
          <w:color w:val="1E7B6E"/>
          <w:sz w:val="22"/>
          <w:szCs w:val="22"/>
        </w:rPr>
        <w:t>6.5 AI Training Pipeline</w:t>
      </w:r>
    </w:p>
    <w:p w:rsidR="001E3785" w:rsidRDefault="00E75D8F">
      <w:pPr>
        <w:spacing w:after="160" w:line="276" w:lineRule="auto"/>
      </w:pPr>
      <w:r>
        <w:rPr>
          <w:color w:val="222222"/>
        </w:rPr>
        <w:t>Responsibility: transform raw, long-form training audio into a clean, segmented dataset suitable for model training, and hand the result to Dataset Management. Collaborators: Audio Processi</w:t>
      </w:r>
      <w:r>
        <w:rPr>
          <w:color w:val="222222"/>
        </w:rPr>
        <w:t>ng (normalization, and the designed noise-filtering and silence-trimming stages), Dataset Management, Storage Layer (Training Store). Current implementation covers normalization and fixed-duration segmentation; the noise-filtering and silence-trimming stag</w:t>
      </w:r>
      <w:r>
        <w:rPr>
          <w:color w:val="222222"/>
        </w:rPr>
        <w:t>es are designed targets not yet realized (§9 gives the full workflow, with each stage's status marked explicitly).</w:t>
      </w:r>
    </w:p>
    <w:p w:rsidR="001E3785" w:rsidRDefault="00E75D8F">
      <w:pPr>
        <w:pStyle w:val="Heading3"/>
        <w:spacing w:before="240" w:after="100"/>
      </w:pPr>
      <w:r>
        <w:rPr>
          <w:b/>
          <w:bCs/>
          <w:color w:val="1E7B6E"/>
          <w:sz w:val="22"/>
          <w:szCs w:val="22"/>
        </w:rPr>
        <w:t>6.6 Audio Processing</w:t>
      </w:r>
    </w:p>
    <w:p w:rsidR="001E3785" w:rsidRDefault="00E75D8F">
      <w:pPr>
        <w:spacing w:after="160" w:line="276" w:lineRule="auto"/>
      </w:pPr>
      <w:r>
        <w:rPr>
          <w:color w:val="222222"/>
        </w:rPr>
        <w:t>Responsibility: general-purpose audio manipulation used by multiple higher-level components — trimming, cutting, and seg</w:t>
      </w:r>
      <w:r>
        <w:rPr>
          <w:color w:val="222222"/>
        </w:rPr>
        <w:t>ment replacement for the Audio Editor; normalization, filtering, and segmentation for the AI Training Pipeline. Collaborators: Storage Layer, and (for segment replacement) Voice Generation. Design note: this component is intentionally shared rather than du</w:t>
      </w:r>
      <w:r>
        <w:rPr>
          <w:color w:val="222222"/>
        </w:rPr>
        <w:t>plicated between the Audio Editor and Training Pipeline use cases, since both are, at their core, waveform-manipulation responsibilities.</w:t>
      </w:r>
    </w:p>
    <w:p w:rsidR="001E3785" w:rsidRDefault="00E75D8F">
      <w:pPr>
        <w:pStyle w:val="Heading3"/>
        <w:spacing w:before="240" w:after="100"/>
      </w:pPr>
      <w:r>
        <w:rPr>
          <w:b/>
          <w:bCs/>
          <w:color w:val="1E7B6E"/>
          <w:sz w:val="22"/>
          <w:szCs w:val="22"/>
        </w:rPr>
        <w:t>6.7 Dataset Management</w:t>
      </w:r>
    </w:p>
    <w:p w:rsidR="001E3785" w:rsidRDefault="00E75D8F">
      <w:pPr>
        <w:spacing w:after="160" w:line="276" w:lineRule="auto"/>
      </w:pPr>
      <w:r>
        <w:rPr>
          <w:color w:val="222222"/>
        </w:rPr>
        <w:t>Responsibility: assemble cleaned audio segments and their associated reference text into a cohe</w:t>
      </w:r>
      <w:r>
        <w:rPr>
          <w:color w:val="222222"/>
        </w:rPr>
        <w:t xml:space="preserve">rent, </w:t>
      </w:r>
      <w:proofErr w:type="spellStart"/>
      <w:r>
        <w:rPr>
          <w:color w:val="222222"/>
        </w:rPr>
        <w:t>labeled</w:t>
      </w:r>
      <w:proofErr w:type="spellEnd"/>
      <w:r>
        <w:rPr>
          <w:color w:val="222222"/>
        </w:rPr>
        <w:t xml:space="preserve"> training dataset, and track dataset-to-model lineage. Collaborators: AI Training Pipeline, Model Management, Storage Layer (Training Store). This is a designed component: the current implementation produces cleaned audio chunks but does not y</w:t>
      </w:r>
      <w:r>
        <w:rPr>
          <w:color w:val="222222"/>
        </w:rPr>
        <w:t xml:space="preserve">et formally assemble or label them as a dataset </w:t>
      </w:r>
      <w:proofErr w:type="spellStart"/>
      <w:r>
        <w:rPr>
          <w:color w:val="222222"/>
        </w:rPr>
        <w:t>artifact</w:t>
      </w:r>
      <w:proofErr w:type="spellEnd"/>
      <w:r>
        <w:rPr>
          <w:color w:val="222222"/>
        </w:rPr>
        <w:t xml:space="preserve"> distinct from the raw chunk files.</w:t>
      </w:r>
    </w:p>
    <w:p w:rsidR="001E3785" w:rsidRDefault="00E75D8F">
      <w:pPr>
        <w:pStyle w:val="Heading3"/>
        <w:spacing w:before="240" w:after="100"/>
      </w:pPr>
      <w:r>
        <w:rPr>
          <w:b/>
          <w:bCs/>
          <w:color w:val="1E7B6E"/>
          <w:sz w:val="22"/>
          <w:szCs w:val="22"/>
        </w:rPr>
        <w:t>6.8 Model Management</w:t>
      </w:r>
    </w:p>
    <w:p w:rsidR="001E3785" w:rsidRDefault="00E75D8F">
      <w:pPr>
        <w:spacing w:after="160" w:line="276" w:lineRule="auto"/>
      </w:pPr>
      <w:r>
        <w:rPr>
          <w:color w:val="222222"/>
        </w:rPr>
        <w:t xml:space="preserve">Responsibility: register, </w:t>
      </w:r>
      <w:proofErr w:type="spellStart"/>
      <w:r>
        <w:rPr>
          <w:color w:val="222222"/>
        </w:rPr>
        <w:t>catalog</w:t>
      </w:r>
      <w:proofErr w:type="spellEnd"/>
      <w:r>
        <w:rPr>
          <w:color w:val="222222"/>
        </w:rPr>
        <w:t xml:space="preserve">, and expose available voice-conversion and trained-clone models to the rest of the system, including basic provenance (which dataset/session produced a given model). Collaborators: Dataset Management, Storage Layer (Model </w:t>
      </w:r>
      <w:r>
        <w:rPr>
          <w:color w:val="222222"/>
        </w:rPr>
        <w:t>Store), Voice Generation, Pronunciation Routing (which selects a conversion model during hybrid routing). Current implementation exposes only a flat directory listing of model files; this design generalizes that into an explicit component responsibility so</w:t>
      </w:r>
      <w:r>
        <w:rPr>
          <w:color w:val="222222"/>
        </w:rPr>
        <w:t xml:space="preserve"> that future model sources (fine-tuned models, additional third-party models) have a defined home.</w:t>
      </w:r>
    </w:p>
    <w:p w:rsidR="001E3785" w:rsidRDefault="00E75D8F">
      <w:pPr>
        <w:pStyle w:val="Heading3"/>
        <w:spacing w:before="240" w:after="100"/>
      </w:pPr>
      <w:r>
        <w:rPr>
          <w:b/>
          <w:bCs/>
          <w:color w:val="1E7B6E"/>
          <w:sz w:val="22"/>
          <w:szCs w:val="22"/>
        </w:rPr>
        <w:t>6.9 Storage</w:t>
      </w:r>
    </w:p>
    <w:p w:rsidR="001E3785" w:rsidRDefault="00E75D8F">
      <w:pPr>
        <w:spacing w:after="160" w:line="276" w:lineRule="auto"/>
      </w:pPr>
      <w:r>
        <w:rPr>
          <w:color w:val="222222"/>
        </w:rPr>
        <w:lastRenderedPageBreak/>
        <w:t xml:space="preserve">Responsibility: durable persistence and retrieval for every </w:t>
      </w:r>
      <w:proofErr w:type="spellStart"/>
      <w:r>
        <w:rPr>
          <w:color w:val="222222"/>
        </w:rPr>
        <w:t>artifact</w:t>
      </w:r>
      <w:proofErr w:type="spellEnd"/>
      <w:r>
        <w:rPr>
          <w:color w:val="222222"/>
        </w:rPr>
        <w:t xml:space="preserve"> type in the system, structured as the four logical stores defined in §14. Co</w:t>
      </w:r>
      <w:r>
        <w:rPr>
          <w:color w:val="222222"/>
        </w:rPr>
        <w:t>llaborators: every other component. Storage is intentionally designed as a single conceptual component with multiple logical stores, rather than one component per store, so that cross-cutting storage concerns (backup, volume-mount boundaries for future con</w:t>
      </w:r>
      <w:r>
        <w:rPr>
          <w:color w:val="222222"/>
        </w:rPr>
        <w:t>tainerization, retention policy) can be reasoned about uniformly.</w:t>
      </w:r>
    </w:p>
    <w:p w:rsidR="001E3785" w:rsidRDefault="00E75D8F">
      <w:pPr>
        <w:pStyle w:val="Heading3"/>
        <w:spacing w:before="240" w:after="100"/>
      </w:pPr>
      <w:r>
        <w:rPr>
          <w:b/>
          <w:bCs/>
          <w:color w:val="1E7B6E"/>
          <w:sz w:val="22"/>
          <w:szCs w:val="22"/>
        </w:rPr>
        <w:t>6.10 Logging</w:t>
      </w:r>
    </w:p>
    <w:p w:rsidR="001E3785" w:rsidRDefault="00E75D8F">
      <w:pPr>
        <w:spacing w:after="160" w:line="276" w:lineRule="auto"/>
      </w:pPr>
      <w:r>
        <w:rPr>
          <w:color w:val="222222"/>
        </w:rPr>
        <w:t xml:space="preserve">Responsibility (designed): capture structured, </w:t>
      </w:r>
      <w:proofErr w:type="spellStart"/>
      <w:r>
        <w:rPr>
          <w:color w:val="222222"/>
        </w:rPr>
        <w:t>leveled</w:t>
      </w:r>
      <w:proofErr w:type="spellEnd"/>
      <w:r>
        <w:rPr>
          <w:color w:val="222222"/>
        </w:rPr>
        <w:t xml:space="preserve"> records of significant events across every layer — requests received, engine invocations, errors, and completions — in a c</w:t>
      </w:r>
      <w:r>
        <w:rPr>
          <w:color w:val="222222"/>
        </w:rPr>
        <w:t>onsistent format suitable for troubleshooting and audit. Collaborators: every layer, via the Infrastructure Layer. Current state: no structured logging exists; today's only diagnostic trail is ad hoc, per-function error strings surfaced directly to the UI.</w:t>
      </w:r>
      <w:r>
        <w:rPr>
          <w:color w:val="222222"/>
        </w:rPr>
        <w:t xml:space="preserve"> §16 specifies the designed logging architecture.</w:t>
      </w:r>
    </w:p>
    <w:p w:rsidR="001E3785" w:rsidRDefault="00E75D8F">
      <w:pPr>
        <w:pStyle w:val="Heading3"/>
        <w:spacing w:before="240" w:after="100"/>
      </w:pPr>
      <w:r>
        <w:rPr>
          <w:b/>
          <w:bCs/>
          <w:color w:val="1E7B6E"/>
          <w:sz w:val="22"/>
          <w:szCs w:val="22"/>
        </w:rPr>
        <w:t>6.11 Monitoring</w:t>
      </w:r>
    </w:p>
    <w:p w:rsidR="001E3785" w:rsidRDefault="00E75D8F">
      <w:pPr>
        <w:spacing w:after="160" w:line="276" w:lineRule="auto"/>
      </w:pPr>
      <w:r>
        <w:rPr>
          <w:color w:val="222222"/>
        </w:rPr>
        <w:t>Responsibility (designed): observe system health and resource usage — engine availability, processing latency, GPU/VRAM utilization, and runtime-boundary health (primary and RVC-isolated run</w:t>
      </w:r>
      <w:r>
        <w:rPr>
          <w:color w:val="222222"/>
        </w:rPr>
        <w:t>times) — and surface that state for operational visibility. Collaborators: Infrastructure Layer, Logging. Current state: no monitoring exists in the current implementation. §17 specifies the designed monitoring architecture.</w:t>
      </w:r>
    </w:p>
    <w:p w:rsidR="001E3785" w:rsidRDefault="00E75D8F">
      <w:r>
        <w:br w:type="page"/>
      </w:r>
    </w:p>
    <w:p w:rsidR="001E3785" w:rsidRDefault="00E75D8F">
      <w:pPr>
        <w:pStyle w:val="Heading1"/>
        <w:pBdr>
          <w:bottom w:val="single" w:sz="8" w:space="4" w:color="2E6E8E"/>
        </w:pBdr>
        <w:spacing w:before="420" w:after="200"/>
      </w:pPr>
      <w:r>
        <w:rPr>
          <w:b/>
          <w:bCs/>
          <w:color w:val="1B2A4A"/>
          <w:sz w:val="30"/>
          <w:szCs w:val="30"/>
        </w:rPr>
        <w:lastRenderedPageBreak/>
        <w:t>7. Request Processing Flow</w:t>
      </w:r>
    </w:p>
    <w:p w:rsidR="001E3785" w:rsidRDefault="00E75D8F">
      <w:pPr>
        <w:spacing w:after="160" w:line="276" w:lineRule="auto"/>
      </w:pPr>
      <w:r>
        <w:rPr>
          <w:color w:val="222222"/>
        </w:rPr>
        <w:t>Fi</w:t>
      </w:r>
      <w:r>
        <w:rPr>
          <w:color w:val="222222"/>
        </w:rPr>
        <w:t>gure 7.1 shows the generic request path common to every user-facing action in the system, regardless of which tab or component ultimately handles it. Individual workflows in §8–§10 specialize this generic path.</w:t>
      </w:r>
    </w:p>
    <w:tbl>
      <w:tblPr>
        <w:tblW w:w="9360" w:type="dxa"/>
        <w:tblBorders>
          <w:top w:val="single" w:sz="6" w:space="0" w:color="1B2A4A"/>
          <w:left w:val="single" w:sz="6" w:space="0" w:color="1B2A4A"/>
          <w:bottom w:val="single" w:sz="6" w:space="0" w:color="1B2A4A"/>
          <w:right w:val="single" w:sz="6" w:space="0" w:color="1B2A4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1E3785">
        <w:tblPrEx>
          <w:tblCellMar>
            <w:top w:w="0" w:type="dxa"/>
            <w:bottom w:w="0" w:type="dxa"/>
          </w:tblCellMar>
        </w:tblPrEx>
        <w:tc>
          <w:tcPr>
            <w:tcW w:w="9360" w:type="dxa"/>
            <w:shd w:val="clear" w:color="auto" w:fill="F7F8FA"/>
            <w:tcMar>
              <w:top w:w="160" w:type="dxa"/>
              <w:left w:w="180" w:type="dxa"/>
              <w:bottom w:w="160" w:type="dxa"/>
              <w:right w:w="180" w:type="dxa"/>
            </w:tcMar>
          </w:tcPr>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User Action (</w:t>
            </w:r>
            <w:proofErr w:type="gramStart"/>
            <w:r>
              <w:rPr>
                <w:rFonts w:ascii="Consolas" w:eastAsia="Consolas" w:hAnsi="Consolas" w:cs="Consolas"/>
                <w:color w:val="1B1B1B"/>
                <w:sz w:val="18"/>
                <w:szCs w:val="18"/>
              </w:rPr>
              <w:t xml:space="preserve">Browser)   </w:t>
            </w:r>
            <w:proofErr w:type="gramEnd"/>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Gradio</w:t>
            </w:r>
            <w:proofErr w:type="spellEnd"/>
            <w:r>
              <w:rPr>
                <w:rFonts w:ascii="Consolas" w:eastAsia="Consolas" w:hAnsi="Consolas" w:cs="Consolas"/>
                <w:color w:val="1B1B1B"/>
                <w:sz w:val="18"/>
                <w:szCs w:val="18"/>
              </w:rPr>
              <w:t xml:space="preserve"> Event Binding (Presentation </w:t>
            </w:r>
            <w:proofErr w:type="gramStart"/>
            <w:r>
              <w:rPr>
                <w:rFonts w:ascii="Consolas" w:eastAsia="Consolas" w:hAnsi="Consolas" w:cs="Consolas"/>
                <w:color w:val="1B1B1B"/>
                <w:sz w:val="18"/>
                <w:szCs w:val="18"/>
              </w:rPr>
              <w:t xml:space="preserve">Layer)   </w:t>
            </w:r>
            <w:proofErr w:type="gramEnd"/>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w:t>
            </w:r>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Application Layer Handler         </w:t>
            </w:r>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                       Input Validation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Domain Layer                         │</w:t>
            </w:r>
          </w:p>
          <w:p w:rsidR="001E3785" w:rsidRDefault="00E75D8F">
            <w:r>
              <w:rPr>
                <w:rFonts w:ascii="Consolas" w:eastAsia="Consolas" w:hAnsi="Consolas" w:cs="Consolas"/>
                <w:color w:val="1B1B1B"/>
                <w:sz w:val="18"/>
                <w:szCs w:val="18"/>
              </w:rPr>
              <w:t>│ Business Rule Checks (e.g. voice exists, script well-formed) │</w:t>
            </w:r>
          </w:p>
          <w:p w:rsidR="001E3785" w:rsidRDefault="00E75D8F">
            <w:r>
              <w:rPr>
                <w:rFonts w:ascii="Consolas" w:eastAsia="Consolas" w:hAnsi="Consolas" w:cs="Consolas"/>
                <w:color w:val="1B1B1B"/>
                <w:sz w:val="18"/>
                <w:szCs w:val="18"/>
              </w:rPr>
              <w:t>└────────────────────────────────────────────</w:t>
            </w:r>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AI Processing Layer</w:t>
            </w:r>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   Engine Invocation across a Runtime / Subprocess Boundary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Storage Layer                         │</w:t>
            </w:r>
          </w:p>
          <w:p w:rsidR="001E3785" w:rsidRDefault="00E75D8F">
            <w:r>
              <w:rPr>
                <w:rFonts w:ascii="Consolas" w:eastAsia="Consolas" w:hAnsi="Consolas" w:cs="Consolas"/>
                <w:color w:val="1B1B1B"/>
                <w:sz w:val="18"/>
                <w:szCs w:val="18"/>
              </w:rPr>
              <w:t xml:space="preserve">│                 Persist or Retrieve </w:t>
            </w:r>
            <w:proofErr w:type="spellStart"/>
            <w:r>
              <w:rPr>
                <w:rFonts w:ascii="Consolas" w:eastAsia="Consolas" w:hAnsi="Consolas" w:cs="Consolas"/>
                <w:color w:val="1B1B1B"/>
                <w:sz w:val="18"/>
                <w:szCs w:val="18"/>
              </w:rPr>
              <w:t>Artifact</w:t>
            </w:r>
            <w:proofErr w:type="spellEnd"/>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w:t>
            </w:r>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Application Layer                       │</w:t>
            </w:r>
          </w:p>
          <w:p w:rsidR="001E3785" w:rsidRDefault="00E75D8F">
            <w:r>
              <w:rPr>
                <w:rFonts w:ascii="Consolas" w:eastAsia="Consolas" w:hAnsi="Consolas" w:cs="Consolas"/>
                <w:color w:val="1B1B1B"/>
                <w:sz w:val="18"/>
                <w:szCs w:val="18"/>
              </w:rPr>
              <w:t>│                      Response Assembly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Presentation Layer                      │</w:t>
            </w:r>
          </w:p>
          <w:p w:rsidR="001E3785" w:rsidRDefault="00E75D8F">
            <w:r>
              <w:rPr>
                <w:rFonts w:ascii="Consolas" w:eastAsia="Consolas" w:hAnsi="Consolas" w:cs="Consolas"/>
                <w:color w:val="1B1B1B"/>
                <w:sz w:val="18"/>
                <w:szCs w:val="18"/>
              </w:rPr>
              <w:t xml:space="preserve">│                          UI Update                 </w:t>
            </w:r>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w:t>
            </w:r>
          </w:p>
        </w:tc>
      </w:tr>
    </w:tbl>
    <w:p w:rsidR="001E3785" w:rsidRDefault="00E75D8F">
      <w:pPr>
        <w:spacing w:before="60" w:after="200"/>
      </w:pPr>
      <w:r>
        <w:rPr>
          <w:i/>
          <w:iCs/>
          <w:color w:val="5A6470"/>
          <w:sz w:val="18"/>
          <w:szCs w:val="18"/>
        </w:rPr>
        <w:t>Figure 7.1 — Generic Request Processing Flow</w:t>
      </w:r>
    </w:p>
    <w:p w:rsidR="001E3785" w:rsidRDefault="00E75D8F">
      <w:pPr>
        <w:spacing w:after="160" w:line="276" w:lineRule="auto"/>
      </w:pPr>
      <w:r>
        <w:rPr>
          <w:color w:val="222222"/>
        </w:rPr>
        <w:t>Two design points apply uniformly across this flow:</w:t>
      </w:r>
    </w:p>
    <w:p w:rsidR="001E3785" w:rsidRDefault="00E75D8F">
      <w:pPr>
        <w:pStyle w:val="ListParagraph"/>
        <w:numPr>
          <w:ilvl w:val="0"/>
          <w:numId w:val="2"/>
        </w:numPr>
        <w:spacing w:after="90" w:line="268" w:lineRule="auto"/>
      </w:pPr>
      <w:r>
        <w:t xml:space="preserve">Validation happens twice, deliberately, at two different levels: </w:t>
      </w:r>
      <w:proofErr w:type="gramStart"/>
      <w:r>
        <w:t>the</w:t>
      </w:r>
      <w:proofErr w:type="gramEnd"/>
      <w:r>
        <w:t xml:space="preserve"> Application Layer checks request shape (are the required fields present and well-typed), while the Domain Layer checks business rules (does the referenced voice exist, is the script synta</w:t>
      </w:r>
      <w:r>
        <w:t xml:space="preserve">ctically well-formed). Keeping these separate </w:t>
      </w:r>
      <w:proofErr w:type="gramStart"/>
      <w:r>
        <w:t>means</w:t>
      </w:r>
      <w:proofErr w:type="gramEnd"/>
      <w:r>
        <w:t xml:space="preserve"> a Domain rule change never requires touching Application-Layer plumbing.</w:t>
      </w:r>
    </w:p>
    <w:p w:rsidR="001E3785" w:rsidRDefault="00E75D8F">
      <w:pPr>
        <w:pStyle w:val="ListParagraph"/>
        <w:numPr>
          <w:ilvl w:val="0"/>
          <w:numId w:val="2"/>
        </w:numPr>
        <w:spacing w:after="90" w:line="268" w:lineRule="auto"/>
      </w:pPr>
      <w:r>
        <w:lastRenderedPageBreak/>
        <w:t>Every downstream failure — a Domain rule violation, an AI Processing engine error, a Storage failure — is caught at the Application</w:t>
      </w:r>
      <w:r>
        <w:t xml:space="preserve"> Layer and converted into a single, consistent response shape before reaching Presentation, formalized in §19.</w:t>
      </w:r>
    </w:p>
    <w:p w:rsidR="001E3785" w:rsidRDefault="00E75D8F">
      <w:r>
        <w:br w:type="page"/>
      </w:r>
    </w:p>
    <w:p w:rsidR="001E3785" w:rsidRDefault="00E75D8F">
      <w:pPr>
        <w:pStyle w:val="Heading1"/>
        <w:pBdr>
          <w:bottom w:val="single" w:sz="8" w:space="4" w:color="2E6E8E"/>
        </w:pBdr>
        <w:spacing w:before="420" w:after="200"/>
      </w:pPr>
      <w:r>
        <w:rPr>
          <w:b/>
          <w:bCs/>
          <w:color w:val="1B2A4A"/>
          <w:sz w:val="30"/>
          <w:szCs w:val="30"/>
        </w:rPr>
        <w:lastRenderedPageBreak/>
        <w:t>8. AI Voice Generation Workflow</w:t>
      </w:r>
    </w:p>
    <w:p w:rsidR="001E3785" w:rsidRDefault="00E75D8F">
      <w:pPr>
        <w:spacing w:after="160" w:line="276" w:lineRule="auto"/>
      </w:pPr>
      <w:r>
        <w:rPr>
          <w:color w:val="222222"/>
        </w:rPr>
        <w:t>This is the specialization of the generic request flow for the system's core capability: producing cloned-voice</w:t>
      </w:r>
      <w:r>
        <w:rPr>
          <w:color w:val="222222"/>
        </w:rPr>
        <w:t xml:space="preserve"> audio from a reference voice and target text (the Voice Cloner and Dramatic Story Mode tabs, and the direct-cloning branch of Pronunciation Routing described in §12).</w:t>
      </w:r>
    </w:p>
    <w:tbl>
      <w:tblPr>
        <w:tblW w:w="9360" w:type="dxa"/>
        <w:tblBorders>
          <w:top w:val="single" w:sz="6" w:space="0" w:color="1B2A4A"/>
          <w:left w:val="single" w:sz="6" w:space="0" w:color="1B2A4A"/>
          <w:bottom w:val="single" w:sz="6" w:space="0" w:color="1B2A4A"/>
          <w:right w:val="single" w:sz="6" w:space="0" w:color="1B2A4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1E3785">
        <w:tblPrEx>
          <w:tblCellMar>
            <w:top w:w="0" w:type="dxa"/>
            <w:bottom w:w="0" w:type="dxa"/>
          </w:tblCellMar>
        </w:tblPrEx>
        <w:tc>
          <w:tcPr>
            <w:tcW w:w="9360" w:type="dxa"/>
            <w:shd w:val="clear" w:color="auto" w:fill="F7F8FA"/>
            <w:tcMar>
              <w:top w:w="160" w:type="dxa"/>
              <w:left w:w="180" w:type="dxa"/>
              <w:bottom w:w="160" w:type="dxa"/>
              <w:right w:w="180" w:type="dxa"/>
            </w:tcMar>
          </w:tcPr>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Reference Audio</w:t>
            </w:r>
            <w:r>
              <w:rPr>
                <w:rFonts w:ascii="Consolas" w:eastAsia="Consolas" w:hAnsi="Consolas" w:cs="Consolas"/>
                <w:color w:val="1B1B1B"/>
                <w:sz w:val="18"/>
                <w:szCs w:val="18"/>
              </w:rPr>
              <w:t xml:space="preserve"> + Reference Text + Target Script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w:t>
            </w:r>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Application Layer                       │</w:t>
            </w:r>
          </w:p>
          <w:p w:rsidR="001E3785" w:rsidRDefault="00E75D8F">
            <w:r>
              <w:rPr>
                <w:rFonts w:ascii="Consolas" w:eastAsia="Consolas" w:hAnsi="Consolas" w:cs="Consolas"/>
                <w:color w:val="1B1B1B"/>
                <w:sz w:val="18"/>
                <w:szCs w:val="18"/>
              </w:rPr>
              <w:t>│                       Request Assembly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w:t>
            </w:r>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AI Processing Layer                      │</w:t>
            </w:r>
          </w:p>
          <w:p w:rsidR="001E3785" w:rsidRDefault="00E75D8F">
            <w:r>
              <w:rPr>
                <w:rFonts w:ascii="Consolas" w:eastAsia="Consolas" w:hAnsi="Consolas" w:cs="Consolas"/>
                <w:color w:val="1B1B1B"/>
                <w:sz w:val="18"/>
                <w:szCs w:val="18"/>
              </w:rPr>
              <w:t xml:space="preserve">│          </w:t>
            </w:r>
            <w:r>
              <w:rPr>
                <w:rFonts w:ascii="Consolas" w:eastAsia="Consolas" w:hAnsi="Consolas" w:cs="Consolas"/>
                <w:color w:val="1B1B1B"/>
                <w:sz w:val="18"/>
                <w:szCs w:val="18"/>
              </w:rPr>
              <w:t xml:space="preserve">Voice Generation Component (F5-TTS </w:t>
            </w:r>
            <w:proofErr w:type="gramStart"/>
            <w:r>
              <w:rPr>
                <w:rFonts w:ascii="Consolas" w:eastAsia="Consolas" w:hAnsi="Consolas" w:cs="Consolas"/>
                <w:color w:val="1B1B1B"/>
                <w:sz w:val="18"/>
                <w:szCs w:val="18"/>
              </w:rPr>
              <w:t xml:space="preserve">Engine)   </w:t>
            </w:r>
            <w:proofErr w:type="gramEnd"/>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Infrastructure Layer                     │</w:t>
            </w:r>
          </w:p>
          <w:p w:rsidR="001E3785" w:rsidRDefault="00E75D8F">
            <w:r>
              <w:rPr>
                <w:rFonts w:ascii="Consolas" w:eastAsia="Consolas" w:hAnsi="Consolas" w:cs="Consolas"/>
                <w:color w:val="1B1B1B"/>
                <w:sz w:val="18"/>
                <w:szCs w:val="18"/>
              </w:rPr>
              <w:t>│                 Managed Subprocess Execution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w:t>
            </w:r>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Generated Audio </w:t>
            </w:r>
            <w:proofErr w:type="spellStart"/>
            <w:r>
              <w:rPr>
                <w:rFonts w:ascii="Consolas" w:eastAsia="Consolas" w:hAnsi="Consolas" w:cs="Consolas"/>
                <w:color w:val="1B1B1B"/>
                <w:sz w:val="18"/>
                <w:szCs w:val="18"/>
              </w:rPr>
              <w:t>Artifact</w:t>
            </w:r>
            <w:proofErr w:type="spellEnd"/>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Storage Layer                         │</w:t>
            </w:r>
          </w:p>
          <w:p w:rsidR="001E3785" w:rsidRDefault="00E75D8F">
            <w:r>
              <w:rPr>
                <w:rFonts w:ascii="Consolas" w:eastAsia="Consolas" w:hAnsi="Consolas" w:cs="Consolas"/>
                <w:color w:val="1B1B1B"/>
                <w:sz w:val="18"/>
                <w:szCs w:val="18"/>
              </w:rPr>
              <w:t>│                    Temporary Output Store                    │</w:t>
            </w:r>
          </w:p>
          <w:p w:rsidR="001E3785" w:rsidRDefault="00E75D8F">
            <w:r>
              <w:rPr>
                <w:rFonts w:ascii="Consolas" w:eastAsia="Consolas" w:hAnsi="Consolas" w:cs="Consolas"/>
                <w:color w:val="1B1B1B"/>
                <w:sz w:val="18"/>
                <w:szCs w:val="18"/>
              </w:rPr>
              <w:t>└────────────────────────────────────────────────────</w:t>
            </w:r>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Presentation Layer        </w:t>
            </w:r>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                     Playback / Download                      │</w:t>
            </w:r>
          </w:p>
          <w:p w:rsidR="001E3785" w:rsidRDefault="00E75D8F">
            <w:r>
              <w:rPr>
                <w:rFonts w:ascii="Consolas" w:eastAsia="Consolas" w:hAnsi="Consolas" w:cs="Consolas"/>
                <w:color w:val="1B1B1B"/>
                <w:sz w:val="18"/>
                <w:szCs w:val="18"/>
              </w:rPr>
              <w:t>└──────────────────────────────────────────────────────────────┘</w:t>
            </w:r>
          </w:p>
        </w:tc>
      </w:tr>
    </w:tbl>
    <w:p w:rsidR="001E3785" w:rsidRDefault="00E75D8F">
      <w:pPr>
        <w:spacing w:before="60" w:after="200"/>
      </w:pPr>
      <w:r>
        <w:rPr>
          <w:i/>
          <w:iCs/>
          <w:color w:val="5A6470"/>
          <w:sz w:val="18"/>
          <w:szCs w:val="18"/>
        </w:rPr>
        <w:t>Figure 8.1 — AI Voice Generation Workflow</w:t>
      </w:r>
    </w:p>
    <w:p w:rsidR="001E3785" w:rsidRDefault="00E75D8F">
      <w:pPr>
        <w:spacing w:after="160" w:line="276" w:lineRule="auto"/>
      </w:pPr>
      <w:r>
        <w:rPr>
          <w:color w:val="222222"/>
        </w:rPr>
        <w:t>Design notes:</w:t>
      </w:r>
    </w:p>
    <w:p w:rsidR="001E3785" w:rsidRDefault="00E75D8F">
      <w:pPr>
        <w:pStyle w:val="ListParagraph"/>
        <w:numPr>
          <w:ilvl w:val="0"/>
          <w:numId w:val="2"/>
        </w:numPr>
        <w:spacing w:after="90" w:line="268" w:lineRule="auto"/>
      </w:pPr>
      <w:r>
        <w:t>The Infrastructure Layer's “Managed Subprocess Execution” step exists because the Voice Generation engine runs as an external process rather than in-process code — an existing, sound isolation boundary this design preserves (see §22, Decision D-3).</w:t>
      </w:r>
    </w:p>
    <w:p w:rsidR="001E3785" w:rsidRDefault="00E75D8F">
      <w:pPr>
        <w:pStyle w:val="ListParagraph"/>
        <w:numPr>
          <w:ilvl w:val="0"/>
          <w:numId w:val="2"/>
        </w:numPr>
        <w:spacing w:after="90" w:line="268" w:lineRule="auto"/>
      </w:pPr>
      <w:r>
        <w:t>The wor</w:t>
      </w:r>
      <w:r>
        <w:t xml:space="preserve">kflow terminates at a Temporary Output Store rather than the permanent Voice Store; only an explicit “save” action (a separate, User-Interface-initiated flow) promotes an </w:t>
      </w:r>
      <w:proofErr w:type="spellStart"/>
      <w:r>
        <w:t>artifact</w:t>
      </w:r>
      <w:proofErr w:type="spellEnd"/>
      <w:r>
        <w:t xml:space="preserve"> from temporary to durable storage. This distinction is preserved from the ex</w:t>
      </w:r>
      <w:r>
        <w:t>isting implementation and generalized in §14.</w:t>
      </w:r>
    </w:p>
    <w:p w:rsidR="001E3785" w:rsidRDefault="00E75D8F">
      <w:r>
        <w:br w:type="page"/>
      </w:r>
    </w:p>
    <w:p w:rsidR="001E3785" w:rsidRDefault="00E75D8F">
      <w:pPr>
        <w:pStyle w:val="Heading1"/>
        <w:pBdr>
          <w:bottom w:val="single" w:sz="8" w:space="4" w:color="2E6E8E"/>
        </w:pBdr>
        <w:spacing w:before="420" w:after="200"/>
      </w:pPr>
      <w:r>
        <w:rPr>
          <w:b/>
          <w:bCs/>
          <w:color w:val="1B2A4A"/>
          <w:sz w:val="30"/>
          <w:szCs w:val="30"/>
        </w:rPr>
        <w:lastRenderedPageBreak/>
        <w:t>9. AI Training Workflow</w:t>
      </w:r>
    </w:p>
    <w:p w:rsidR="001E3785" w:rsidRDefault="00E75D8F">
      <w:pPr>
        <w:spacing w:after="160" w:line="276" w:lineRule="auto"/>
      </w:pPr>
      <w:r>
        <w:rPr>
          <w:color w:val="222222"/>
        </w:rPr>
        <w:t xml:space="preserve">This workflow specializes the generic request flow for the AI Training Pipeline component (§6.5), covering ingestion of long-form reference audio through to a registered Model </w:t>
      </w:r>
      <w:proofErr w:type="spellStart"/>
      <w:r>
        <w:rPr>
          <w:color w:val="222222"/>
        </w:rPr>
        <w:t>Artifact</w:t>
      </w:r>
      <w:proofErr w:type="spellEnd"/>
      <w:r>
        <w:rPr>
          <w:color w:val="222222"/>
        </w:rPr>
        <w:t>. Each stage below is explicitly marked with its current implementation status, consistent with the Stage 1 Analysis.</w:t>
      </w:r>
    </w:p>
    <w:tbl>
      <w:tblPr>
        <w:tblW w:w="9360" w:type="dxa"/>
        <w:tblBorders>
          <w:top w:val="single" w:sz="6" w:space="0" w:color="1B2A4A"/>
          <w:left w:val="single" w:sz="6" w:space="0" w:color="1B2A4A"/>
          <w:bottom w:val="single" w:sz="6" w:space="0" w:color="1B2A4A"/>
          <w:right w:val="single" w:sz="6" w:space="0" w:color="1B2A4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1E3785">
        <w:tblPrEx>
          <w:tblCellMar>
            <w:top w:w="0" w:type="dxa"/>
            <w:bottom w:w="0" w:type="dxa"/>
          </w:tblCellMar>
        </w:tblPrEx>
        <w:tc>
          <w:tcPr>
            <w:tcW w:w="9360" w:type="dxa"/>
            <w:shd w:val="clear" w:color="auto" w:fill="F7F8FA"/>
            <w:tcMar>
              <w:top w:w="160" w:type="dxa"/>
              <w:left w:w="180" w:type="dxa"/>
              <w:bottom w:w="160" w:type="dxa"/>
              <w:right w:w="180" w:type="dxa"/>
            </w:tcMar>
          </w:tcPr>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Raw Training Audio (10+ </w:t>
            </w:r>
            <w:proofErr w:type="gramStart"/>
            <w:r>
              <w:rPr>
                <w:rFonts w:ascii="Consolas" w:eastAsia="Consolas" w:hAnsi="Consolas" w:cs="Consolas"/>
                <w:color w:val="1B1B1B"/>
                <w:sz w:val="18"/>
                <w:szCs w:val="18"/>
              </w:rPr>
              <w:t xml:space="preserve">minutes)   </w:t>
            </w:r>
            <w:proofErr w:type="gramEnd"/>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w:t>
            </w:r>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Audio Processing Component                  │</w:t>
            </w:r>
          </w:p>
          <w:p w:rsidR="001E3785" w:rsidRDefault="00E75D8F">
            <w:r>
              <w:rPr>
                <w:rFonts w:ascii="Consolas" w:eastAsia="Consolas" w:hAnsi="Consolas" w:cs="Consolas"/>
                <w:color w:val="1B1B1B"/>
                <w:sz w:val="18"/>
                <w:szCs w:val="18"/>
              </w:rPr>
              <w:t xml:space="preserve">│              Loudness </w:t>
            </w:r>
            <w:proofErr w:type="gramStart"/>
            <w:r>
              <w:rPr>
                <w:rFonts w:ascii="Consolas" w:eastAsia="Consolas" w:hAnsi="Consolas" w:cs="Consolas"/>
                <w:color w:val="1B1B1B"/>
                <w:sz w:val="18"/>
                <w:szCs w:val="18"/>
              </w:rPr>
              <w:t>Normalization  [</w:t>
            </w:r>
            <w:proofErr w:type="gramEnd"/>
            <w:r>
              <w:rPr>
                <w:rFonts w:ascii="Consolas" w:eastAsia="Consolas" w:hAnsi="Consolas" w:cs="Consolas"/>
                <w:color w:val="1B1B1B"/>
                <w:sz w:val="18"/>
                <w:szCs w:val="18"/>
              </w:rPr>
              <w:t>Existing]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Audio Processing Component                </w:t>
            </w:r>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 xml:space="preserve">│   Noise </w:t>
            </w:r>
            <w:proofErr w:type="gramStart"/>
            <w:r>
              <w:rPr>
                <w:rFonts w:ascii="Consolas" w:eastAsia="Consolas" w:hAnsi="Consolas" w:cs="Consolas"/>
                <w:color w:val="1B1B1B"/>
                <w:sz w:val="18"/>
                <w:szCs w:val="18"/>
              </w:rPr>
              <w:t>Filtering  [</w:t>
            </w:r>
            <w:proofErr w:type="gramEnd"/>
            <w:r>
              <w:rPr>
                <w:rFonts w:ascii="Consolas" w:eastAsia="Consolas" w:hAnsi="Consolas" w:cs="Consolas"/>
                <w:color w:val="1B1B1B"/>
                <w:sz w:val="18"/>
                <w:szCs w:val="18"/>
              </w:rPr>
              <w:t>Designed Target — not yet implemented]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Audio Processing Component                  │</w:t>
            </w:r>
          </w:p>
          <w:p w:rsidR="001E3785" w:rsidRDefault="00E75D8F">
            <w:r>
              <w:rPr>
                <w:rFonts w:ascii="Consolas" w:eastAsia="Consolas" w:hAnsi="Consolas" w:cs="Consolas"/>
                <w:color w:val="1B1B1B"/>
                <w:sz w:val="18"/>
                <w:szCs w:val="18"/>
              </w:rPr>
              <w:t xml:space="preserve">│     Silence </w:t>
            </w:r>
            <w:proofErr w:type="gramStart"/>
            <w:r>
              <w:rPr>
                <w:rFonts w:ascii="Consolas" w:eastAsia="Consolas" w:hAnsi="Consolas" w:cs="Consolas"/>
                <w:color w:val="1B1B1B"/>
                <w:sz w:val="18"/>
                <w:szCs w:val="18"/>
              </w:rPr>
              <w:t>Trimming  [</w:t>
            </w:r>
            <w:proofErr w:type="gramEnd"/>
            <w:r>
              <w:rPr>
                <w:rFonts w:ascii="Consolas" w:eastAsia="Consolas" w:hAnsi="Consolas" w:cs="Consolas"/>
                <w:color w:val="1B1B1B"/>
                <w:sz w:val="18"/>
                <w:szCs w:val="18"/>
              </w:rPr>
              <w:t>Designed Target — not yet built]      │</w:t>
            </w:r>
          </w:p>
          <w:p w:rsidR="001E3785" w:rsidRDefault="00E75D8F">
            <w:r>
              <w:rPr>
                <w:rFonts w:ascii="Consolas" w:eastAsia="Consolas" w:hAnsi="Consolas" w:cs="Consolas"/>
                <w:color w:val="1B1B1B"/>
                <w:sz w:val="18"/>
                <w:szCs w:val="18"/>
              </w:rPr>
              <w:t>└────────────────────────────────────────────────────</w:t>
            </w:r>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Audio Processing Component    </w:t>
            </w:r>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 xml:space="preserve">│        Segmentation into Training </w:t>
            </w:r>
            <w:proofErr w:type="gramStart"/>
            <w:r>
              <w:rPr>
                <w:rFonts w:ascii="Consolas" w:eastAsia="Consolas" w:hAnsi="Consolas" w:cs="Consolas"/>
                <w:color w:val="1B1B1B"/>
                <w:sz w:val="18"/>
                <w:szCs w:val="18"/>
              </w:rPr>
              <w:t>Chunks  [</w:t>
            </w:r>
            <w:proofErr w:type="gramEnd"/>
            <w:r>
              <w:rPr>
                <w:rFonts w:ascii="Consolas" w:eastAsia="Consolas" w:hAnsi="Consolas" w:cs="Consolas"/>
                <w:color w:val="1B1B1B"/>
                <w:sz w:val="18"/>
                <w:szCs w:val="18"/>
              </w:rPr>
              <w:t>Existing]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Dataset Management Component                 │</w:t>
            </w:r>
          </w:p>
          <w:p w:rsidR="001E3785" w:rsidRDefault="00E75D8F">
            <w:r>
              <w:rPr>
                <w:rFonts w:ascii="Consolas" w:eastAsia="Consolas" w:hAnsi="Consolas" w:cs="Consolas"/>
                <w:color w:val="1B1B1B"/>
                <w:sz w:val="18"/>
                <w:szCs w:val="18"/>
              </w:rPr>
              <w:t xml:space="preserve">│                 Dataset Assembly &amp; </w:t>
            </w:r>
            <w:proofErr w:type="spellStart"/>
            <w:r>
              <w:rPr>
                <w:rFonts w:ascii="Consolas" w:eastAsia="Consolas" w:hAnsi="Consolas" w:cs="Consolas"/>
                <w:color w:val="1B1B1B"/>
                <w:sz w:val="18"/>
                <w:szCs w:val="18"/>
              </w:rPr>
              <w:t>Labeling</w:t>
            </w:r>
            <w:proofErr w:type="spellEnd"/>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w:t>
            </w:r>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Storage Layer                         │</w:t>
            </w:r>
          </w:p>
          <w:p w:rsidR="001E3785" w:rsidRDefault="00E75D8F">
            <w:r>
              <w:rPr>
                <w:rFonts w:ascii="Consolas" w:eastAsia="Consolas" w:hAnsi="Consolas" w:cs="Consolas"/>
                <w:color w:val="1B1B1B"/>
                <w:sz w:val="18"/>
                <w:szCs w:val="18"/>
              </w:rPr>
              <w:t xml:space="preserve">│              Training Store (Session </w:t>
            </w:r>
            <w:proofErr w:type="gramStart"/>
            <w:r>
              <w:rPr>
                <w:rFonts w:ascii="Consolas" w:eastAsia="Consolas" w:hAnsi="Consolas" w:cs="Consolas"/>
                <w:color w:val="1B1B1B"/>
                <w:sz w:val="18"/>
                <w:szCs w:val="18"/>
              </w:rPr>
              <w:t xml:space="preserve">Directory)   </w:t>
            </w:r>
            <w:proofErr w:type="gramEnd"/>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Model Management Component                  │</w:t>
            </w:r>
          </w:p>
          <w:p w:rsidR="001E3785" w:rsidRDefault="00E75D8F">
            <w:r>
              <w:rPr>
                <w:rFonts w:ascii="Consolas" w:eastAsia="Consolas" w:hAnsi="Consolas" w:cs="Consolas"/>
                <w:color w:val="1B1B1B"/>
                <w:sz w:val="18"/>
                <w:szCs w:val="18"/>
              </w:rPr>
              <w:t xml:space="preserve">│                 Model </w:t>
            </w:r>
            <w:proofErr w:type="spellStart"/>
            <w:r>
              <w:rPr>
                <w:rFonts w:ascii="Consolas" w:eastAsia="Consolas" w:hAnsi="Consolas" w:cs="Consolas"/>
                <w:color w:val="1B1B1B"/>
                <w:sz w:val="18"/>
                <w:szCs w:val="18"/>
              </w:rPr>
              <w:t>Artifact</w:t>
            </w:r>
            <w:proofErr w:type="spellEnd"/>
            <w:r>
              <w:rPr>
                <w:rFonts w:ascii="Consolas" w:eastAsia="Consolas" w:hAnsi="Consolas" w:cs="Consolas"/>
                <w:color w:val="1B1B1B"/>
                <w:sz w:val="18"/>
                <w:szCs w:val="18"/>
              </w:rPr>
              <w:t xml:space="preserve"> Registration            </w:t>
            </w:r>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w:t>
            </w:r>
          </w:p>
        </w:tc>
      </w:tr>
    </w:tbl>
    <w:p w:rsidR="001E3785" w:rsidRDefault="00E75D8F">
      <w:pPr>
        <w:spacing w:before="60" w:after="200"/>
      </w:pPr>
      <w:r>
        <w:rPr>
          <w:i/>
          <w:iCs/>
          <w:color w:val="5A6470"/>
          <w:sz w:val="18"/>
          <w:szCs w:val="18"/>
        </w:rPr>
        <w:t>Figure 9.1 — AI Training Workflow, with Stage-Level Implementation Status</w:t>
      </w:r>
    </w:p>
    <w:p w:rsidR="001E3785" w:rsidRDefault="00E75D8F">
      <w:pPr>
        <w:spacing w:after="160" w:line="276" w:lineRule="auto"/>
      </w:pPr>
      <w:r>
        <w:rPr>
          <w:color w:val="222222"/>
        </w:rPr>
        <w:t>Design notes:</w:t>
      </w:r>
    </w:p>
    <w:p w:rsidR="001E3785" w:rsidRDefault="00E75D8F">
      <w:pPr>
        <w:pStyle w:val="ListParagraph"/>
        <w:numPr>
          <w:ilvl w:val="0"/>
          <w:numId w:val="2"/>
        </w:numPr>
        <w:spacing w:after="90" w:line="268" w:lineRule="auto"/>
      </w:pPr>
      <w:r>
        <w:t>The two stages marked “Designed Target” are placed between normalization and segmentation deli</w:t>
      </w:r>
      <w:r>
        <w:t>berately: noise filtering should run before segmentation so cleaning happens once per session rather than once per chunk, and silence trimming should run before segmentation so chunk boundaries are not chosen based on silence that will later be removed.</w:t>
      </w:r>
    </w:p>
    <w:p w:rsidR="001E3785" w:rsidRDefault="00E75D8F">
      <w:pPr>
        <w:pStyle w:val="ListParagraph"/>
        <w:numPr>
          <w:ilvl w:val="0"/>
          <w:numId w:val="2"/>
        </w:numPr>
        <w:spacing w:after="90" w:line="268" w:lineRule="auto"/>
      </w:pPr>
      <w:r>
        <w:lastRenderedPageBreak/>
        <w:t>Dataset Management is shown as a distinct stage from raw segmentation to reflect §6.7's designed responsibility split — segmentation produces clean audio chunks; Dataset Management is responsible for assembling those chunks, plus their reference text, into</w:t>
      </w:r>
      <w:r>
        <w:t xml:space="preserve"> a </w:t>
      </w:r>
      <w:proofErr w:type="spellStart"/>
      <w:r>
        <w:t>labeled</w:t>
      </w:r>
      <w:proofErr w:type="spellEnd"/>
      <w:r>
        <w:t>, model-ready dataset.</w:t>
      </w:r>
    </w:p>
    <w:p w:rsidR="001E3785" w:rsidRDefault="00E75D8F">
      <w:pPr>
        <w:pStyle w:val="ListParagraph"/>
        <w:numPr>
          <w:ilvl w:val="0"/>
          <w:numId w:val="2"/>
        </w:numPr>
        <w:spacing w:after="90" w:line="268" w:lineRule="auto"/>
      </w:pPr>
      <w:r>
        <w:t>Model Management's registration step is the hand-off point to §6.8 and to the Model Store defined in §14; it is shown as the terminal stage of training and the entry point for the model becoming available to Voice Generation and Pronunciation Routing.</w:t>
      </w:r>
    </w:p>
    <w:p w:rsidR="001E3785" w:rsidRDefault="00E75D8F">
      <w:r>
        <w:br w:type="page"/>
      </w:r>
    </w:p>
    <w:p w:rsidR="001E3785" w:rsidRDefault="00E75D8F">
      <w:pPr>
        <w:pStyle w:val="Heading1"/>
        <w:pBdr>
          <w:bottom w:val="single" w:sz="8" w:space="4" w:color="2E6E8E"/>
        </w:pBdr>
        <w:spacing w:before="420" w:after="200"/>
      </w:pPr>
      <w:r>
        <w:rPr>
          <w:b/>
          <w:bCs/>
          <w:color w:val="1B2A4A"/>
          <w:sz w:val="30"/>
          <w:szCs w:val="30"/>
        </w:rPr>
        <w:lastRenderedPageBreak/>
        <w:t>10</w:t>
      </w:r>
      <w:r>
        <w:rPr>
          <w:b/>
          <w:bCs/>
          <w:color w:val="1B2A4A"/>
          <w:sz w:val="30"/>
          <w:szCs w:val="30"/>
        </w:rPr>
        <w:t>. Audio Processing Workflow</w:t>
      </w:r>
    </w:p>
    <w:p w:rsidR="001E3785" w:rsidRDefault="00E75D8F">
      <w:pPr>
        <w:spacing w:after="160" w:line="276" w:lineRule="auto"/>
      </w:pPr>
      <w:r>
        <w:rPr>
          <w:color w:val="222222"/>
        </w:rPr>
        <w:t xml:space="preserve">This workflow covers the Audio Processing component's role in the Audio Editor: post-generation manipulation of an already-produced audio </w:t>
      </w:r>
      <w:proofErr w:type="spellStart"/>
      <w:r>
        <w:rPr>
          <w:color w:val="222222"/>
        </w:rPr>
        <w:t>artifact</w:t>
      </w:r>
      <w:proofErr w:type="spellEnd"/>
      <w:r>
        <w:rPr>
          <w:color w:val="222222"/>
        </w:rPr>
        <w:t>.</w:t>
      </w:r>
    </w:p>
    <w:tbl>
      <w:tblPr>
        <w:tblW w:w="9360" w:type="dxa"/>
        <w:tblBorders>
          <w:top w:val="single" w:sz="6" w:space="0" w:color="1B2A4A"/>
          <w:left w:val="single" w:sz="6" w:space="0" w:color="1B2A4A"/>
          <w:bottom w:val="single" w:sz="6" w:space="0" w:color="1B2A4A"/>
          <w:right w:val="single" w:sz="6" w:space="0" w:color="1B2A4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1E3785">
        <w:tblPrEx>
          <w:tblCellMar>
            <w:top w:w="0" w:type="dxa"/>
            <w:bottom w:w="0" w:type="dxa"/>
          </w:tblCellMar>
        </w:tblPrEx>
        <w:tc>
          <w:tcPr>
            <w:tcW w:w="9360" w:type="dxa"/>
            <w:shd w:val="clear" w:color="auto" w:fill="F7F8FA"/>
            <w:tcMar>
              <w:top w:w="160" w:type="dxa"/>
              <w:left w:w="180" w:type="dxa"/>
              <w:bottom w:w="160" w:type="dxa"/>
              <w:right w:w="180" w:type="dxa"/>
            </w:tcMar>
          </w:tcPr>
          <w:p w:rsidR="001E3785" w:rsidRDefault="00E75D8F">
            <w:r>
              <w:rPr>
                <w:rFonts w:ascii="Consolas" w:eastAsia="Consolas" w:hAnsi="Consolas" w:cs="Consolas"/>
                <w:color w:val="1B1B1B"/>
                <w:sz w:val="18"/>
                <w:szCs w:val="18"/>
              </w:rPr>
              <w:t xml:space="preserve">                       Source Audio Clip                        </w:t>
            </w:r>
          </w:p>
          <w:p w:rsidR="001E3785" w:rsidRDefault="00E75D8F">
            <w:r>
              <w:rPr>
                <w:rFonts w:ascii="Consolas" w:eastAsia="Consolas" w:hAnsi="Consolas" w:cs="Consolas"/>
                <w:color w:val="1B1B1B"/>
                <w:sz w:val="18"/>
                <w:szCs w:val="18"/>
              </w:rPr>
              <w:t xml:space="preserve">               </w:t>
            </w:r>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Audio Processing Component — Operation Selection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w:t>
            </w:r>
            <w:r>
              <w:rPr>
                <w:rFonts w:ascii="Consolas" w:eastAsia="Consolas" w:hAnsi="Consolas" w:cs="Consolas"/>
                <w:color w:val="1B1B1B"/>
                <w:sz w:val="18"/>
                <w:szCs w:val="18"/>
              </w:rPr>
              <w:t xml:space="preserve">    ▼               ▼                ▼               </w:t>
            </w:r>
          </w:p>
          <w:p w:rsidR="001E3785" w:rsidRDefault="00E75D8F">
            <w:r>
              <w:rPr>
                <w:rFonts w:ascii="Consolas" w:eastAsia="Consolas" w:hAnsi="Consolas" w:cs="Consolas"/>
                <w:color w:val="1B1B1B"/>
                <w:sz w:val="18"/>
                <w:szCs w:val="18"/>
              </w:rPr>
              <w:t xml:space="preserve">           Trim          Cut          Replace Segment           </w:t>
            </w:r>
          </w:p>
          <w:p w:rsidR="001E3785" w:rsidRDefault="00E75D8F">
            <w:r>
              <w:rPr>
                <w:rFonts w:ascii="Consolas" w:eastAsia="Consolas" w:hAnsi="Consolas" w:cs="Consolas"/>
                <w:color w:val="1B1B1B"/>
                <w:sz w:val="18"/>
                <w:szCs w:val="18"/>
              </w:rPr>
              <w:t xml:space="preserve">           Segment       </w:t>
            </w:r>
            <w:proofErr w:type="spellStart"/>
            <w:r>
              <w:rPr>
                <w:rFonts w:ascii="Consolas" w:eastAsia="Consolas" w:hAnsi="Consolas" w:cs="Consolas"/>
                <w:color w:val="1B1B1B"/>
                <w:sz w:val="18"/>
                <w:szCs w:val="18"/>
              </w:rPr>
              <w:t>Segment</w:t>
            </w:r>
            <w:proofErr w:type="spellEnd"/>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 xml:space="preserve">   (</w:t>
            </w:r>
            <w:proofErr w:type="gramEnd"/>
            <w:r>
              <w:rPr>
                <w:rFonts w:ascii="Consolas" w:eastAsia="Consolas" w:hAnsi="Consolas" w:cs="Consolas"/>
                <w:color w:val="1B1B1B"/>
                <w:sz w:val="18"/>
                <w:szCs w:val="18"/>
              </w:rPr>
              <w:t xml:space="preserve">invokes Voice            </w:t>
            </w:r>
          </w:p>
          <w:p w:rsidR="001E3785" w:rsidRDefault="00E75D8F">
            <w:r>
              <w:rPr>
                <w:rFonts w:ascii="Consolas" w:eastAsia="Consolas" w:hAnsi="Consolas" w:cs="Consolas"/>
                <w:color w:val="1B1B1B"/>
                <w:sz w:val="18"/>
                <w:szCs w:val="18"/>
              </w:rPr>
              <w:t xml:space="preserve">                                   Generation Component)        </w:t>
            </w:r>
          </w:p>
          <w:p w:rsidR="001E3785" w:rsidRDefault="00E75D8F">
            <w:r>
              <w:rPr>
                <w:rFonts w:ascii="Consolas" w:eastAsia="Consolas" w:hAnsi="Consolas" w:cs="Consolas"/>
                <w:color w:val="1B1B1B"/>
                <w:sz w:val="18"/>
                <w:szCs w:val="18"/>
              </w:rPr>
              <w:t xml:space="preserve">       </w:t>
            </w:r>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Reassembled Audio </w:t>
            </w:r>
            <w:proofErr w:type="spellStart"/>
            <w:r>
              <w:rPr>
                <w:rFonts w:ascii="Consolas" w:eastAsia="Consolas" w:hAnsi="Consolas" w:cs="Consolas"/>
                <w:color w:val="1B1B1B"/>
                <w:sz w:val="18"/>
                <w:szCs w:val="18"/>
              </w:rPr>
              <w:t>Artifact</w:t>
            </w:r>
            <w:proofErr w:type="spellEnd"/>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w:t>
            </w:r>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Storage Layer — Temporary Output Store             </w:t>
            </w:r>
          </w:p>
        </w:tc>
      </w:tr>
    </w:tbl>
    <w:p w:rsidR="001E3785" w:rsidRDefault="00E75D8F">
      <w:pPr>
        <w:spacing w:before="60" w:after="200"/>
      </w:pPr>
      <w:r>
        <w:rPr>
          <w:i/>
          <w:iCs/>
          <w:color w:val="5A6470"/>
          <w:sz w:val="18"/>
          <w:szCs w:val="18"/>
        </w:rPr>
        <w:t>Figure 10.1 — Audio Processing Workflow (Editor Operations)</w:t>
      </w:r>
    </w:p>
    <w:p w:rsidR="001E3785" w:rsidRDefault="00E75D8F">
      <w:pPr>
        <w:spacing w:after="160" w:line="276" w:lineRule="auto"/>
      </w:pPr>
      <w:r>
        <w:rPr>
          <w:color w:val="222222"/>
        </w:rPr>
        <w:t>Design notes:</w:t>
      </w:r>
    </w:p>
    <w:p w:rsidR="001E3785" w:rsidRDefault="00E75D8F">
      <w:pPr>
        <w:pStyle w:val="ListParagraph"/>
        <w:numPr>
          <w:ilvl w:val="0"/>
          <w:numId w:val="2"/>
        </w:numPr>
        <w:spacing w:after="90" w:line="268" w:lineRule="auto"/>
      </w:pPr>
      <w:r>
        <w:t>Trim and Cut are self-contained waveform operations with no dependency outside Audio Processing itself.</w:t>
      </w:r>
    </w:p>
    <w:p w:rsidR="001E3785" w:rsidRDefault="00E75D8F">
      <w:pPr>
        <w:pStyle w:val="ListParagraph"/>
        <w:numPr>
          <w:ilvl w:val="0"/>
          <w:numId w:val="2"/>
        </w:numPr>
        <w:spacing w:after="90" w:line="268" w:lineRule="auto"/>
      </w:pPr>
      <w:r>
        <w:t>Replace Segment is the one operation in this workflow that collaborates with Voice Generation — it removes a time range and splices in newly synthesized</w:t>
      </w:r>
      <w:r>
        <w:t xml:space="preserve"> audio in its place — which is why it is shown branching out to that component rather than terminating locally like Trim and Cut.</w:t>
      </w:r>
    </w:p>
    <w:p w:rsidR="001E3785" w:rsidRDefault="00E75D8F">
      <w:pPr>
        <w:pStyle w:val="ListParagraph"/>
        <w:numPr>
          <w:ilvl w:val="0"/>
          <w:numId w:val="2"/>
        </w:numPr>
        <w:spacing w:after="90" w:line="268" w:lineRule="auto"/>
      </w:pPr>
      <w:r>
        <w:t xml:space="preserve">All three operations converge on the same reassembly and storage path, keeping the component's external </w:t>
      </w:r>
      <w:proofErr w:type="spellStart"/>
      <w:r>
        <w:t>behavior</w:t>
      </w:r>
      <w:proofErr w:type="spellEnd"/>
      <w:r>
        <w:t xml:space="preserve"> uniform regar</w:t>
      </w:r>
      <w:r>
        <w:t>dless of which operation was selected.</w:t>
      </w:r>
    </w:p>
    <w:p w:rsidR="001E3785" w:rsidRDefault="00E75D8F">
      <w:r>
        <w:br w:type="page"/>
      </w:r>
    </w:p>
    <w:p w:rsidR="001E3785" w:rsidRDefault="00E75D8F">
      <w:pPr>
        <w:pStyle w:val="Heading1"/>
        <w:pBdr>
          <w:bottom w:val="single" w:sz="8" w:space="4" w:color="2E6E8E"/>
        </w:pBdr>
        <w:spacing w:before="420" w:after="200"/>
      </w:pPr>
      <w:r>
        <w:rPr>
          <w:b/>
          <w:bCs/>
          <w:color w:val="1B2A4A"/>
          <w:sz w:val="30"/>
          <w:szCs w:val="30"/>
        </w:rPr>
        <w:lastRenderedPageBreak/>
        <w:t>11. Data Flow Diagram</w:t>
      </w:r>
    </w:p>
    <w:p w:rsidR="001E3785" w:rsidRDefault="00E75D8F">
      <w:pPr>
        <w:spacing w:after="160" w:line="276" w:lineRule="auto"/>
      </w:pPr>
      <w:r>
        <w:rPr>
          <w:color w:val="222222"/>
        </w:rPr>
        <w:t xml:space="preserve">Figure 11.1 presents a conventional Data Flow Diagram (DFD) view of the system: </w:t>
      </w:r>
      <w:proofErr w:type="gramStart"/>
      <w:r>
        <w:rPr>
          <w:color w:val="222222"/>
        </w:rPr>
        <w:t>the</w:t>
      </w:r>
      <w:proofErr w:type="gramEnd"/>
      <w:r>
        <w:rPr>
          <w:color w:val="222222"/>
        </w:rPr>
        <w:t xml:space="preserve"> User as the sole external entity, five numbered processes corresponding to the major service groupings from §</w:t>
      </w:r>
      <w:r>
        <w:rPr>
          <w:color w:val="222222"/>
        </w:rPr>
        <w:t>3, and the data stores each process reads from or writes to.</w:t>
      </w:r>
    </w:p>
    <w:tbl>
      <w:tblPr>
        <w:tblW w:w="9360" w:type="dxa"/>
        <w:tblBorders>
          <w:top w:val="single" w:sz="6" w:space="0" w:color="1B2A4A"/>
          <w:left w:val="single" w:sz="6" w:space="0" w:color="1B2A4A"/>
          <w:bottom w:val="single" w:sz="6" w:space="0" w:color="1B2A4A"/>
          <w:right w:val="single" w:sz="6" w:space="0" w:color="1B2A4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1E3785">
        <w:tblPrEx>
          <w:tblCellMar>
            <w:top w:w="0" w:type="dxa"/>
            <w:bottom w:w="0" w:type="dxa"/>
          </w:tblCellMar>
        </w:tblPrEx>
        <w:tc>
          <w:tcPr>
            <w:tcW w:w="9360" w:type="dxa"/>
            <w:shd w:val="clear" w:color="auto" w:fill="F7F8FA"/>
            <w:tcMar>
              <w:top w:w="160" w:type="dxa"/>
              <w:left w:w="180" w:type="dxa"/>
              <w:bottom w:w="160" w:type="dxa"/>
              <w:right w:w="180" w:type="dxa"/>
            </w:tcMar>
          </w:tcPr>
          <w:p w:rsidR="001E3785" w:rsidRDefault="00E75D8F">
            <w:r>
              <w:rPr>
                <w:rFonts w:ascii="Consolas" w:eastAsia="Consolas" w:hAnsi="Consolas" w:cs="Consolas"/>
                <w:color w:val="1B1B1B"/>
                <w:sz w:val="18"/>
                <w:szCs w:val="18"/>
              </w:rPr>
              <w:t xml:space="preserve">  (User) ────────► [1.0 Voice Generation] ─────► (Temp Store) ──► (User)</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proofErr w:type="gramStart"/>
            <w:r>
              <w:rPr>
                <w:rFonts w:ascii="Consolas" w:eastAsia="Consolas" w:hAnsi="Consolas" w:cs="Consolas"/>
                <w:color w:val="1B1B1B"/>
                <w:sz w:val="18"/>
                <w:szCs w:val="18"/>
              </w:rPr>
              <w:t xml:space="preserve">   (</w:t>
            </w:r>
            <w:proofErr w:type="gramEnd"/>
            <w:r>
              <w:rPr>
                <w:rFonts w:ascii="Consolas" w:eastAsia="Consolas" w:hAnsi="Consolas" w:cs="Consolas"/>
                <w:color w:val="1B1B1B"/>
                <w:sz w:val="18"/>
                <w:szCs w:val="18"/>
              </w:rPr>
              <w:t>Voice Store)</w:t>
            </w:r>
          </w:p>
          <w:p w:rsidR="001E3785" w:rsidRDefault="00E75D8F">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 xml:space="preserve">     ├──────────► [2.0 Podcast Assembly] ───────► (Temp Store) ──► (User)</w:t>
            </w:r>
          </w:p>
          <w:p w:rsidR="001E3785" w:rsidRDefault="00E75D8F">
            <w:r>
              <w:rPr>
                <w:rFonts w:ascii="Consolas" w:eastAsia="Consolas" w:hAnsi="Consolas" w:cs="Consolas"/>
                <w:color w:val="1B1B1B"/>
                <w:sz w:val="18"/>
                <w:szCs w:val="18"/>
              </w:rPr>
              <w:t xml:space="preserve">     │                       │        ▲</w:t>
            </w:r>
          </w:p>
          <w:p w:rsidR="001E3785" w:rsidRDefault="00E75D8F">
            <w:r>
              <w:rPr>
                <w:rFonts w:ascii="Consolas" w:eastAsia="Consolas" w:hAnsi="Consolas" w:cs="Consolas"/>
                <w:color w:val="1B1B1B"/>
                <w:sz w:val="18"/>
                <w:szCs w:val="18"/>
              </w:rPr>
              <w:t xml:space="preserve">     │                       ▼        │</w:t>
            </w:r>
          </w:p>
          <w:p w:rsidR="001E3785" w:rsidRDefault="00E75D8F">
            <w:r>
              <w:rPr>
                <w:rFonts w:ascii="Consolas" w:eastAsia="Consolas" w:hAnsi="Consolas" w:cs="Consolas"/>
                <w:color w:val="1B1B1B"/>
                <w:sz w:val="18"/>
                <w:szCs w:val="18"/>
              </w:rPr>
              <w:t xml:space="preserve">     │             </w:t>
            </w:r>
            <w:proofErr w:type="gramStart"/>
            <w:r>
              <w:rPr>
                <w:rFonts w:ascii="Consolas" w:eastAsia="Consolas" w:hAnsi="Consolas" w:cs="Consolas"/>
                <w:color w:val="1B1B1B"/>
                <w:sz w:val="18"/>
                <w:szCs w:val="18"/>
              </w:rPr>
              <w:t xml:space="preserve">   (</w:t>
            </w:r>
            <w:proofErr w:type="gramEnd"/>
            <w:r>
              <w:rPr>
                <w:rFonts w:ascii="Consolas" w:eastAsia="Consolas" w:hAnsi="Consolas" w:cs="Consolas"/>
                <w:color w:val="1B1B1B"/>
                <w:sz w:val="18"/>
                <w:szCs w:val="18"/>
              </w:rPr>
              <w:t>Voice Store)  [2.1 Pronunciation Routing]</w:t>
            </w:r>
          </w:p>
          <w:p w:rsidR="001E3785" w:rsidRDefault="00E75D8F">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 xml:space="preserve">     ├──────────► [3.0 Training Pipeline] ──────► (Training Store)</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proofErr w:type="gramStart"/>
            <w:r>
              <w:rPr>
                <w:rFonts w:ascii="Consolas" w:eastAsia="Consolas" w:hAnsi="Consolas" w:cs="Consolas"/>
                <w:color w:val="1B1B1B"/>
                <w:sz w:val="18"/>
                <w:szCs w:val="18"/>
              </w:rPr>
              <w:t xml:space="preserve">   [</w:t>
            </w:r>
            <w:proofErr w:type="gramEnd"/>
            <w:r>
              <w:rPr>
                <w:rFonts w:ascii="Consolas" w:eastAsia="Consolas" w:hAnsi="Consolas" w:cs="Consolas"/>
                <w:color w:val="1B1B1B"/>
                <w:sz w:val="18"/>
                <w:szCs w:val="18"/>
              </w:rPr>
              <w:t>4.0 Model Management] ─────► (Model Store)</w:t>
            </w:r>
          </w:p>
          <w:p w:rsidR="001E3785" w:rsidRDefault="00E75D8F">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 xml:space="preserve">     └──────────► [5.0 Audio Editing] ──────────► (Temp </w:t>
            </w:r>
            <w:r>
              <w:rPr>
                <w:rFonts w:ascii="Consolas" w:eastAsia="Consolas" w:hAnsi="Consolas" w:cs="Consolas"/>
                <w:color w:val="1B1B1B"/>
                <w:sz w:val="18"/>
                <w:szCs w:val="18"/>
              </w:rPr>
              <w:t>Store) ──► (User)</w:t>
            </w:r>
          </w:p>
        </w:tc>
      </w:tr>
    </w:tbl>
    <w:p w:rsidR="001E3785" w:rsidRDefault="00E75D8F">
      <w:pPr>
        <w:spacing w:before="60" w:after="200"/>
      </w:pPr>
      <w:r>
        <w:rPr>
          <w:i/>
          <w:iCs/>
          <w:color w:val="5A6470"/>
          <w:sz w:val="18"/>
          <w:szCs w:val="18"/>
        </w:rPr>
        <w:t>Figure 11.1 — System Data Flow Diagram (Level 1)</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3200"/>
        <w:gridCol w:w="3080"/>
        <w:gridCol w:w="3080"/>
      </w:tblGrid>
      <w:tr w:rsidR="001E3785">
        <w:tblPrEx>
          <w:tblCellMar>
            <w:top w:w="0" w:type="dxa"/>
            <w:bottom w:w="0" w:type="dxa"/>
          </w:tblCellMar>
        </w:tblPrEx>
        <w:trPr>
          <w:tblHeader/>
        </w:trPr>
        <w:tc>
          <w:tcPr>
            <w:tcW w:w="32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Process</w:t>
            </w:r>
          </w:p>
        </w:tc>
        <w:tc>
          <w:tcPr>
            <w:tcW w:w="308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Reads From</w:t>
            </w:r>
          </w:p>
        </w:tc>
        <w:tc>
          <w:tcPr>
            <w:tcW w:w="308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Writes To</w:t>
            </w:r>
          </w:p>
        </w:tc>
      </w:tr>
      <w:tr w:rsidR="001E3785">
        <w:tblPrEx>
          <w:tblCellMar>
            <w:top w:w="0" w:type="dxa"/>
            <w:bottom w:w="0" w:type="dxa"/>
          </w:tblCellMar>
        </w:tblPrEx>
        <w:tc>
          <w:tcPr>
            <w:tcW w:w="3200" w:type="dxa"/>
            <w:tcMar>
              <w:top w:w="80" w:type="dxa"/>
              <w:left w:w="110" w:type="dxa"/>
              <w:bottom w:w="80" w:type="dxa"/>
              <w:right w:w="110" w:type="dxa"/>
            </w:tcMar>
            <w:vAlign w:val="center"/>
          </w:tcPr>
          <w:p w:rsidR="001E3785" w:rsidRDefault="00E75D8F">
            <w:pPr>
              <w:spacing w:line="250" w:lineRule="auto"/>
            </w:pPr>
            <w:r>
              <w:rPr>
                <w:color w:val="1E1E1E"/>
                <w:sz w:val="19"/>
                <w:szCs w:val="19"/>
              </w:rPr>
              <w:t>1.0 Voice Generation</w:t>
            </w:r>
          </w:p>
        </w:tc>
        <w:tc>
          <w:tcPr>
            <w:tcW w:w="3080" w:type="dxa"/>
            <w:tcMar>
              <w:top w:w="80" w:type="dxa"/>
              <w:left w:w="110" w:type="dxa"/>
              <w:bottom w:w="80" w:type="dxa"/>
              <w:right w:w="110" w:type="dxa"/>
            </w:tcMar>
            <w:vAlign w:val="center"/>
          </w:tcPr>
          <w:p w:rsidR="001E3785" w:rsidRDefault="00E75D8F">
            <w:pPr>
              <w:spacing w:line="250" w:lineRule="auto"/>
            </w:pPr>
            <w:r>
              <w:rPr>
                <w:color w:val="1E1E1E"/>
                <w:sz w:val="19"/>
                <w:szCs w:val="19"/>
              </w:rPr>
              <w:t>Voice Store</w:t>
            </w:r>
          </w:p>
        </w:tc>
        <w:tc>
          <w:tcPr>
            <w:tcW w:w="3080" w:type="dxa"/>
            <w:tcMar>
              <w:top w:w="80" w:type="dxa"/>
              <w:left w:w="110" w:type="dxa"/>
              <w:bottom w:w="80" w:type="dxa"/>
              <w:right w:w="110" w:type="dxa"/>
            </w:tcMar>
            <w:vAlign w:val="center"/>
          </w:tcPr>
          <w:p w:rsidR="001E3785" w:rsidRDefault="00E75D8F">
            <w:pPr>
              <w:spacing w:line="250" w:lineRule="auto"/>
            </w:pPr>
            <w:r>
              <w:rPr>
                <w:color w:val="1E1E1E"/>
                <w:sz w:val="19"/>
                <w:szCs w:val="19"/>
              </w:rPr>
              <w:t>Temp Store</w:t>
            </w:r>
          </w:p>
        </w:tc>
      </w:tr>
      <w:tr w:rsidR="001E3785">
        <w:tblPrEx>
          <w:tblCellMar>
            <w:top w:w="0" w:type="dxa"/>
            <w:bottom w:w="0" w:type="dxa"/>
          </w:tblCellMar>
        </w:tblPrEx>
        <w:tc>
          <w:tcPr>
            <w:tcW w:w="32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2.0 Podcast Assembly</w:t>
            </w:r>
          </w:p>
        </w:tc>
        <w:tc>
          <w:tcPr>
            <w:tcW w:w="308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Voice Store, via 2.1 Pronunciation Routing</w:t>
            </w:r>
          </w:p>
        </w:tc>
        <w:tc>
          <w:tcPr>
            <w:tcW w:w="308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Temp Store</w:t>
            </w:r>
          </w:p>
        </w:tc>
      </w:tr>
      <w:tr w:rsidR="001E3785">
        <w:tblPrEx>
          <w:tblCellMar>
            <w:top w:w="0" w:type="dxa"/>
            <w:bottom w:w="0" w:type="dxa"/>
          </w:tblCellMar>
        </w:tblPrEx>
        <w:tc>
          <w:tcPr>
            <w:tcW w:w="3200" w:type="dxa"/>
            <w:tcMar>
              <w:top w:w="80" w:type="dxa"/>
              <w:left w:w="110" w:type="dxa"/>
              <w:bottom w:w="80" w:type="dxa"/>
              <w:right w:w="110" w:type="dxa"/>
            </w:tcMar>
            <w:vAlign w:val="center"/>
          </w:tcPr>
          <w:p w:rsidR="001E3785" w:rsidRDefault="00E75D8F">
            <w:pPr>
              <w:spacing w:line="250" w:lineRule="auto"/>
            </w:pPr>
            <w:r>
              <w:rPr>
                <w:color w:val="1E1E1E"/>
                <w:sz w:val="19"/>
                <w:szCs w:val="19"/>
              </w:rPr>
              <w:t>3.0 Training Pipeline</w:t>
            </w:r>
          </w:p>
        </w:tc>
        <w:tc>
          <w:tcPr>
            <w:tcW w:w="3080" w:type="dxa"/>
            <w:tcMar>
              <w:top w:w="80" w:type="dxa"/>
              <w:left w:w="110" w:type="dxa"/>
              <w:bottom w:w="80" w:type="dxa"/>
              <w:right w:w="110" w:type="dxa"/>
            </w:tcMar>
            <w:vAlign w:val="center"/>
          </w:tcPr>
          <w:p w:rsidR="001E3785" w:rsidRDefault="00E75D8F">
            <w:pPr>
              <w:spacing w:line="250" w:lineRule="auto"/>
            </w:pPr>
            <w:r>
              <w:rPr>
                <w:color w:val="1E1E1E"/>
                <w:sz w:val="19"/>
                <w:szCs w:val="19"/>
              </w:rPr>
              <w:t>User-supplied raw audio</w:t>
            </w:r>
          </w:p>
        </w:tc>
        <w:tc>
          <w:tcPr>
            <w:tcW w:w="3080" w:type="dxa"/>
            <w:tcMar>
              <w:top w:w="80" w:type="dxa"/>
              <w:left w:w="110" w:type="dxa"/>
              <w:bottom w:w="80" w:type="dxa"/>
              <w:right w:w="110" w:type="dxa"/>
            </w:tcMar>
            <w:vAlign w:val="center"/>
          </w:tcPr>
          <w:p w:rsidR="001E3785" w:rsidRDefault="00E75D8F">
            <w:pPr>
              <w:spacing w:line="250" w:lineRule="auto"/>
            </w:pPr>
            <w:r>
              <w:rPr>
                <w:color w:val="1E1E1E"/>
                <w:sz w:val="19"/>
                <w:szCs w:val="19"/>
              </w:rPr>
              <w:t>Training Store</w:t>
            </w:r>
          </w:p>
        </w:tc>
      </w:tr>
      <w:tr w:rsidR="001E3785">
        <w:tblPrEx>
          <w:tblCellMar>
            <w:top w:w="0" w:type="dxa"/>
            <w:bottom w:w="0" w:type="dxa"/>
          </w:tblCellMar>
        </w:tblPrEx>
        <w:tc>
          <w:tcPr>
            <w:tcW w:w="32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4.0 Model Management</w:t>
            </w:r>
          </w:p>
        </w:tc>
        <w:tc>
          <w:tcPr>
            <w:tcW w:w="308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Training Store</w:t>
            </w:r>
          </w:p>
        </w:tc>
        <w:tc>
          <w:tcPr>
            <w:tcW w:w="308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Model Store</w:t>
            </w:r>
          </w:p>
        </w:tc>
      </w:tr>
      <w:tr w:rsidR="001E3785">
        <w:tblPrEx>
          <w:tblCellMar>
            <w:top w:w="0" w:type="dxa"/>
            <w:bottom w:w="0" w:type="dxa"/>
          </w:tblCellMar>
        </w:tblPrEx>
        <w:tc>
          <w:tcPr>
            <w:tcW w:w="3200" w:type="dxa"/>
            <w:tcMar>
              <w:top w:w="80" w:type="dxa"/>
              <w:left w:w="110" w:type="dxa"/>
              <w:bottom w:w="80" w:type="dxa"/>
              <w:right w:w="110" w:type="dxa"/>
            </w:tcMar>
            <w:vAlign w:val="center"/>
          </w:tcPr>
          <w:p w:rsidR="001E3785" w:rsidRDefault="00E75D8F">
            <w:pPr>
              <w:spacing w:line="250" w:lineRule="auto"/>
            </w:pPr>
            <w:r>
              <w:rPr>
                <w:color w:val="1E1E1E"/>
                <w:sz w:val="19"/>
                <w:szCs w:val="19"/>
              </w:rPr>
              <w:t>5.0 Audio Editing</w:t>
            </w:r>
          </w:p>
        </w:tc>
        <w:tc>
          <w:tcPr>
            <w:tcW w:w="3080" w:type="dxa"/>
            <w:tcMar>
              <w:top w:w="80" w:type="dxa"/>
              <w:left w:w="110" w:type="dxa"/>
              <w:bottom w:w="80" w:type="dxa"/>
              <w:right w:w="110" w:type="dxa"/>
            </w:tcMar>
            <w:vAlign w:val="center"/>
          </w:tcPr>
          <w:p w:rsidR="001E3785" w:rsidRDefault="00E75D8F">
            <w:pPr>
              <w:spacing w:line="250" w:lineRule="auto"/>
            </w:pPr>
            <w:r>
              <w:rPr>
                <w:color w:val="1E1E1E"/>
                <w:sz w:val="19"/>
                <w:szCs w:val="19"/>
              </w:rPr>
              <w:t>Temp Store / User-supplied audio</w:t>
            </w:r>
          </w:p>
        </w:tc>
        <w:tc>
          <w:tcPr>
            <w:tcW w:w="3080" w:type="dxa"/>
            <w:tcMar>
              <w:top w:w="80" w:type="dxa"/>
              <w:left w:w="110" w:type="dxa"/>
              <w:bottom w:w="80" w:type="dxa"/>
              <w:right w:w="110" w:type="dxa"/>
            </w:tcMar>
            <w:vAlign w:val="center"/>
          </w:tcPr>
          <w:p w:rsidR="001E3785" w:rsidRDefault="00E75D8F">
            <w:pPr>
              <w:spacing w:line="250" w:lineRule="auto"/>
            </w:pPr>
            <w:r>
              <w:rPr>
                <w:color w:val="1E1E1E"/>
                <w:sz w:val="19"/>
                <w:szCs w:val="19"/>
              </w:rPr>
              <w:t>Temp Store</w:t>
            </w:r>
          </w:p>
        </w:tc>
      </w:tr>
    </w:tbl>
    <w:p w:rsidR="001E3785" w:rsidRDefault="00E75D8F">
      <w:pPr>
        <w:spacing w:after="160" w:line="276" w:lineRule="auto"/>
      </w:pPr>
      <w:r>
        <w:rPr>
          <w:color w:val="222222"/>
        </w:rPr>
        <w:t>Process 2.1 (Pronunciation Routing) is shown feeding into Process 2.0 rather than as its own numbered top-level process, reflecting its designed role as a policy check embedded within podcast assembly rather than a standalone user-facing capability — consi</w:t>
      </w:r>
      <w:r>
        <w:rPr>
          <w:color w:val="222222"/>
        </w:rPr>
        <w:t>stent with its component definition in §6.4.</w:t>
      </w:r>
    </w:p>
    <w:p w:rsidR="001E3785" w:rsidRDefault="00E75D8F">
      <w:r>
        <w:br w:type="page"/>
      </w:r>
    </w:p>
    <w:p w:rsidR="001E3785" w:rsidRDefault="00E75D8F">
      <w:pPr>
        <w:pStyle w:val="Heading1"/>
        <w:pBdr>
          <w:bottom w:val="single" w:sz="8" w:space="4" w:color="2E6E8E"/>
        </w:pBdr>
        <w:spacing w:before="420" w:after="200"/>
      </w:pPr>
      <w:r>
        <w:rPr>
          <w:b/>
          <w:bCs/>
          <w:color w:val="1B2A4A"/>
          <w:sz w:val="30"/>
          <w:szCs w:val="30"/>
        </w:rPr>
        <w:lastRenderedPageBreak/>
        <w:t>12. Component Interaction Diagram</w:t>
      </w:r>
    </w:p>
    <w:p w:rsidR="001E3785" w:rsidRDefault="00E75D8F">
      <w:pPr>
        <w:spacing w:after="160" w:line="276" w:lineRule="auto"/>
      </w:pPr>
      <w:r>
        <w:rPr>
          <w:color w:val="222222"/>
        </w:rPr>
        <w:t>Because Pronunciation Routing was identified in the Stage 1 Analysis as the system's most significant structural gap, this section gives its interaction with the Podcast Engin</w:t>
      </w:r>
      <w:r>
        <w:rPr>
          <w:color w:val="222222"/>
        </w:rPr>
        <w:t>e and Voice Generation a dedicated, detailed diagram rather than only the summary treatment in §6.4.</w:t>
      </w:r>
    </w:p>
    <w:tbl>
      <w:tblPr>
        <w:tblW w:w="9360" w:type="dxa"/>
        <w:tblBorders>
          <w:top w:val="single" w:sz="6" w:space="0" w:color="1B2A4A"/>
          <w:left w:val="single" w:sz="6" w:space="0" w:color="1B2A4A"/>
          <w:bottom w:val="single" w:sz="6" w:space="0" w:color="1B2A4A"/>
          <w:right w:val="single" w:sz="6" w:space="0" w:color="1B2A4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1E3785">
        <w:tblPrEx>
          <w:tblCellMar>
            <w:top w:w="0" w:type="dxa"/>
            <w:bottom w:w="0" w:type="dxa"/>
          </w:tblCellMar>
        </w:tblPrEx>
        <w:tc>
          <w:tcPr>
            <w:tcW w:w="9360" w:type="dxa"/>
            <w:shd w:val="clear" w:color="auto" w:fill="F7F8FA"/>
            <w:tcMar>
              <w:top w:w="160" w:type="dxa"/>
              <w:left w:w="180" w:type="dxa"/>
              <w:bottom w:w="160" w:type="dxa"/>
              <w:right w:w="180" w:type="dxa"/>
            </w:tcMar>
          </w:tcPr>
          <w:p w:rsidR="001E3785" w:rsidRDefault="00E75D8F">
            <w:r>
              <w:rPr>
                <w:rFonts w:ascii="Consolas" w:eastAsia="Consolas" w:hAnsi="Consolas" w:cs="Consolas"/>
                <w:color w:val="1B1B1B"/>
                <w:sz w:val="18"/>
                <w:szCs w:val="18"/>
              </w:rPr>
              <w:t xml:space="preserve">            Podcast Engine</w:t>
            </w:r>
          </w:p>
          <w:p w:rsidR="001E3785" w:rsidRDefault="00E75D8F">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  dialogue</w:t>
            </w:r>
            <w:proofErr w:type="gramEnd"/>
            <w:r>
              <w:rPr>
                <w:rFonts w:ascii="Consolas" w:eastAsia="Consolas" w:hAnsi="Consolas" w:cs="Consolas"/>
                <w:color w:val="1B1B1B"/>
                <w:sz w:val="18"/>
                <w:szCs w:val="18"/>
              </w:rPr>
              <w:t xml:space="preserve"> line</w:t>
            </w:r>
          </w:p>
          <w:p w:rsidR="001E3785" w:rsidRDefault="00E75D8F">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 xml:space="preserve">     Pronunciation Routing Component</w:t>
            </w:r>
          </w:p>
          <w:p w:rsidR="001E3785" w:rsidRDefault="00E75D8F">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 xml:space="preserve">     Script requires native-language routing?</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YES                             NO</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Localization Engine                  │</w:t>
            </w:r>
          </w:p>
          <w:p w:rsidR="001E3785" w:rsidRDefault="00E75D8F">
            <w:r>
              <w:rPr>
                <w:rFonts w:ascii="Consolas" w:eastAsia="Consolas" w:hAnsi="Consolas" w:cs="Consolas"/>
                <w:color w:val="1B1B1B"/>
                <w:sz w:val="18"/>
                <w:szCs w:val="18"/>
              </w:rPr>
              <w:t xml:space="preserve">  (Transliteration +                   │</w:t>
            </w:r>
          </w:p>
          <w:p w:rsidR="001E3785" w:rsidRDefault="00E75D8F">
            <w:r>
              <w:rPr>
                <w:rFonts w:ascii="Consolas" w:eastAsia="Consolas" w:hAnsi="Consolas" w:cs="Consolas"/>
                <w:color w:val="1B1B1B"/>
                <w:sz w:val="18"/>
                <w:szCs w:val="18"/>
              </w:rPr>
              <w:t xml:space="preserve">   Neural </w:t>
            </w:r>
            <w:proofErr w:type="gramStart"/>
            <w:r>
              <w:rPr>
                <w:rFonts w:ascii="Consolas" w:eastAsia="Consolas" w:hAnsi="Consolas" w:cs="Consolas"/>
                <w:color w:val="1B1B1B"/>
                <w:sz w:val="18"/>
                <w:szCs w:val="18"/>
              </w:rPr>
              <w:t xml:space="preserve">Narration)   </w:t>
            </w:r>
            <w:proofErr w:type="gramEnd"/>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Voice Generation           Voice Generation</w:t>
            </w:r>
          </w:p>
          <w:p w:rsidR="001E3785" w:rsidRDefault="00E75D8F">
            <w:r>
              <w:rPr>
                <w:rFonts w:ascii="Consolas" w:eastAsia="Consolas" w:hAnsi="Consolas" w:cs="Consolas"/>
                <w:color w:val="1B1B1B"/>
                <w:sz w:val="18"/>
                <w:szCs w:val="18"/>
              </w:rPr>
              <w:t xml:space="preserve">  Component (Re-</w:t>
            </w:r>
            <w:proofErr w:type="gramStart"/>
            <w:r>
              <w:rPr>
                <w:rFonts w:ascii="Consolas" w:eastAsia="Consolas" w:hAnsi="Consolas" w:cs="Consolas"/>
                <w:color w:val="1B1B1B"/>
                <w:sz w:val="18"/>
                <w:szCs w:val="18"/>
              </w:rPr>
              <w:t xml:space="preserve">voicing)   </w:t>
            </w:r>
            <w:proofErr w:type="gramEnd"/>
            <w:r>
              <w:rPr>
                <w:rFonts w:ascii="Consolas" w:eastAsia="Consolas" w:hAnsi="Consolas" w:cs="Consolas"/>
                <w:color w:val="1B1B1B"/>
                <w:sz w:val="18"/>
                <w:szCs w:val="18"/>
              </w:rPr>
              <w:t xml:space="preserve">  Component (Direct</w:t>
            </w:r>
            <w:r>
              <w:rPr>
                <w:rFonts w:ascii="Consolas" w:eastAsia="Consolas" w:hAnsi="Consolas" w:cs="Consolas"/>
                <w:color w:val="1B1B1B"/>
                <w:sz w:val="18"/>
                <w:szCs w:val="18"/>
              </w:rPr>
              <w:t xml:space="preserve"> Cloning)</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 xml:space="preserve">        Audio Segment Returned to Podcast Engine</w:t>
            </w:r>
          </w:p>
        </w:tc>
      </w:tr>
    </w:tbl>
    <w:p w:rsidR="001E3785" w:rsidRDefault="00E75D8F">
      <w:pPr>
        <w:spacing w:before="60" w:after="200"/>
      </w:pPr>
      <w:r>
        <w:rPr>
          <w:i/>
          <w:iCs/>
          <w:color w:val="5A6470"/>
          <w:sz w:val="18"/>
          <w:szCs w:val="18"/>
        </w:rPr>
        <w:t>Figure 12.1 — Component Interaction: Pronunciation-Aware Podcast Line Processing</w:t>
      </w:r>
    </w:p>
    <w:p w:rsidR="001E3785" w:rsidRDefault="00E75D8F">
      <w:pPr>
        <w:spacing w:after="160" w:line="276" w:lineRule="auto"/>
      </w:pPr>
      <w:r>
        <w:rPr>
          <w:color w:val="222222"/>
        </w:rPr>
        <w:t>Design notes:</w:t>
      </w:r>
    </w:p>
    <w:p w:rsidR="001E3785" w:rsidRDefault="00E75D8F">
      <w:pPr>
        <w:pStyle w:val="ListParagraph"/>
        <w:numPr>
          <w:ilvl w:val="0"/>
          <w:numId w:val="2"/>
        </w:numPr>
        <w:spacing w:after="90" w:line="268" w:lineRule="auto"/>
      </w:pPr>
      <w:r>
        <w:t xml:space="preserve">Every dialogue line handled by the Podcast Engine passes through Pronunciation Routing's policy check — not only lines a user manually flags — so that routing </w:t>
      </w:r>
      <w:proofErr w:type="spellStart"/>
      <w:r>
        <w:t>behavior</w:t>
      </w:r>
      <w:proofErr w:type="spellEnd"/>
      <w:r>
        <w:t xml:space="preserve"> is consistent and does not depend on the user remembering to opt in.</w:t>
      </w:r>
    </w:p>
    <w:p w:rsidR="001E3785" w:rsidRDefault="00E75D8F">
      <w:pPr>
        <w:pStyle w:val="ListParagraph"/>
        <w:numPr>
          <w:ilvl w:val="0"/>
          <w:numId w:val="2"/>
        </w:numPr>
        <w:spacing w:after="90" w:line="268" w:lineRule="auto"/>
      </w:pPr>
      <w:r>
        <w:t>The t</w:t>
      </w:r>
      <w:r>
        <w:t>wo branches converge back on a single “Audio Segment Returned to Podcast Engine” point, so that from the Podcast Engine's perspective, both branches are interchangeable: it always receives one finished audio segment per line, regardless of which internal p</w:t>
      </w:r>
      <w:r>
        <w:t>ath produced it.</w:t>
      </w:r>
    </w:p>
    <w:p w:rsidR="001E3785" w:rsidRDefault="00E75D8F">
      <w:pPr>
        <w:pStyle w:val="ListParagraph"/>
        <w:numPr>
          <w:ilvl w:val="0"/>
          <w:numId w:val="2"/>
        </w:numPr>
        <w:spacing w:after="90" w:line="268" w:lineRule="auto"/>
      </w:pPr>
      <w:r>
        <w:t>The Localization Engine box in the YES branch encapsulates two AI Processing Layer engines (Transliteration and Neural Narration) as a single collaborating unit, consistent with §6.4's description of the hybrid process as one coordinated s</w:t>
      </w:r>
      <w:r>
        <w:t>tep rather than two independent calls the Podcast Engine must sequence itself.</w:t>
      </w:r>
    </w:p>
    <w:p w:rsidR="001E3785" w:rsidRDefault="00E75D8F">
      <w:r>
        <w:br w:type="page"/>
      </w:r>
    </w:p>
    <w:p w:rsidR="001E3785" w:rsidRDefault="00E75D8F">
      <w:pPr>
        <w:pStyle w:val="Heading1"/>
        <w:pBdr>
          <w:bottom w:val="single" w:sz="8" w:space="4" w:color="2E6E8E"/>
        </w:pBdr>
        <w:spacing w:before="420" w:after="200"/>
      </w:pPr>
      <w:r>
        <w:rPr>
          <w:b/>
          <w:bCs/>
          <w:color w:val="1B2A4A"/>
          <w:sz w:val="30"/>
          <w:szCs w:val="30"/>
        </w:rPr>
        <w:lastRenderedPageBreak/>
        <w:t>13. Deployment Overview</w:t>
      </w:r>
    </w:p>
    <w:p w:rsidR="001E3785" w:rsidRDefault="00E75D8F">
      <w:pPr>
        <w:spacing w:after="160" w:line="276" w:lineRule="auto"/>
      </w:pPr>
      <w:r>
        <w:rPr>
          <w:color w:val="222222"/>
        </w:rPr>
        <w:t xml:space="preserve">This section describes deployment topology conceptually — runtime boundaries and persistent-state boundaries — without specifying build files, images, </w:t>
      </w:r>
      <w:r>
        <w:rPr>
          <w:color w:val="222222"/>
        </w:rPr>
        <w:t>or orchestration syntax, consistent with this document's design-only scope. It is intended to give Stage 3 (Architecture) and any future containerization effort a stable target shape to implement against.</w:t>
      </w:r>
    </w:p>
    <w:tbl>
      <w:tblPr>
        <w:tblW w:w="9360" w:type="dxa"/>
        <w:tblBorders>
          <w:top w:val="single" w:sz="6" w:space="0" w:color="1B2A4A"/>
          <w:left w:val="single" w:sz="6" w:space="0" w:color="1B2A4A"/>
          <w:bottom w:val="single" w:sz="6" w:space="0" w:color="1B2A4A"/>
          <w:right w:val="single" w:sz="6" w:space="0" w:color="1B2A4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1E3785">
        <w:tblPrEx>
          <w:tblCellMar>
            <w:top w:w="0" w:type="dxa"/>
            <w:bottom w:w="0" w:type="dxa"/>
          </w:tblCellMar>
        </w:tblPrEx>
        <w:tc>
          <w:tcPr>
            <w:tcW w:w="9360" w:type="dxa"/>
            <w:shd w:val="clear" w:color="auto" w:fill="F7F8FA"/>
            <w:tcMar>
              <w:top w:w="160" w:type="dxa"/>
              <w:left w:w="180" w:type="dxa"/>
              <w:bottom w:w="160" w:type="dxa"/>
              <w:right w:w="180" w:type="dxa"/>
            </w:tcMar>
          </w:tcPr>
          <w:p w:rsidR="001E3785" w:rsidRDefault="00E75D8F">
            <w:r>
              <w:rPr>
                <w:rFonts w:ascii="Consolas" w:eastAsia="Consolas" w:hAnsi="Consolas" w:cs="Consolas"/>
                <w:color w:val="1B1B1B"/>
                <w:sz w:val="18"/>
                <w:szCs w:val="18"/>
              </w:rPr>
              <w:t>┌──────────────────────────────────────────────────</w:t>
            </w:r>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Deployment Host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Application Runtime Boundary                  │</w:t>
            </w:r>
          </w:p>
          <w:p w:rsidR="001E3785" w:rsidRDefault="00E75D8F">
            <w:r>
              <w:rPr>
                <w:rFonts w:ascii="Consolas" w:eastAsia="Consolas" w:hAnsi="Consolas" w:cs="Consolas"/>
                <w:color w:val="1B1B1B"/>
                <w:sz w:val="18"/>
                <w:szCs w:val="18"/>
              </w:rPr>
              <w:t>│           Presentation + Application + Domain Layers           │</w:t>
            </w:r>
          </w:p>
          <w:p w:rsidR="001E3785" w:rsidRDefault="00E75D8F">
            <w:r>
              <w:rPr>
                <w:rFonts w:ascii="Consolas" w:eastAsia="Consolas" w:hAnsi="Consolas" w:cs="Consolas"/>
                <w:color w:val="1B1B1B"/>
                <w:sz w:val="18"/>
                <w:szCs w:val="18"/>
              </w:rPr>
              <w:t>└──────────────────────────</w:t>
            </w:r>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AI Processing Runtime Boundary(</w:t>
            </w:r>
            <w:proofErr w:type="spellStart"/>
            <w:proofErr w:type="gramStart"/>
            <w:r>
              <w:rPr>
                <w:rFonts w:ascii="Consolas" w:eastAsia="Consolas" w:hAnsi="Consolas" w:cs="Consolas"/>
                <w:color w:val="1B1B1B"/>
                <w:sz w:val="18"/>
                <w:szCs w:val="18"/>
              </w:rPr>
              <w:t>ies</w:t>
            </w:r>
            <w:proofErr w:type="spellEnd"/>
            <w:r>
              <w:rPr>
                <w:rFonts w:ascii="Consolas" w:eastAsia="Consolas" w:hAnsi="Consolas" w:cs="Consolas"/>
                <w:color w:val="1B1B1B"/>
                <w:sz w:val="18"/>
                <w:szCs w:val="18"/>
              </w:rPr>
              <w:t xml:space="preserve">)   </w:t>
            </w:r>
            <w:proofErr w:type="gramEnd"/>
            <w:r>
              <w:rPr>
                <w:rFonts w:ascii="Consolas" w:eastAsia="Consolas" w:hAnsi="Consolas" w:cs="Consolas"/>
                <w:color w:val="1B1B1B"/>
                <w:sz w:val="18"/>
                <w:szCs w:val="18"/>
              </w:rPr>
              <w:t xml:space="preserve">            │</w:t>
            </w:r>
          </w:p>
          <w:p w:rsidR="001E3785" w:rsidRDefault="00E75D8F">
            <w:r>
              <w:rPr>
                <w:rFonts w:ascii="Consolas" w:eastAsia="Consolas" w:hAnsi="Consolas" w:cs="Consolas"/>
                <w:color w:val="1B1B1B"/>
                <w:sz w:val="18"/>
                <w:szCs w:val="18"/>
              </w:rPr>
              <w:t>│         Primary Runtime — F5-TTS · Edge-TTS · Whisper          │</w:t>
            </w:r>
          </w:p>
          <w:p w:rsidR="001E3785" w:rsidRDefault="00E75D8F">
            <w:r>
              <w:rPr>
                <w:rFonts w:ascii="Consolas" w:eastAsia="Consolas" w:hAnsi="Consolas" w:cs="Consolas"/>
                <w:color w:val="1B1B1B"/>
                <w:sz w:val="18"/>
                <w:szCs w:val="18"/>
              </w:rPr>
              <w:t>│                     Isolated Runtime — RVC                     │</w:t>
            </w:r>
          </w:p>
          <w:p w:rsidR="001E3785" w:rsidRDefault="00E75D8F">
            <w:r>
              <w:rPr>
                <w:rFonts w:ascii="Consolas" w:eastAsia="Consolas" w:hAnsi="Consolas" w:cs="Consolas"/>
                <w:color w:val="1B1B1B"/>
                <w:sz w:val="18"/>
                <w:szCs w:val="18"/>
              </w:rPr>
              <w:t>└──────────────────────────────────────────────────────</w:t>
            </w:r>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 xml:space="preserve">                                ▼                                 </w:t>
            </w:r>
          </w:p>
          <w:p w:rsidR="001E3785" w:rsidRDefault="00E75D8F">
            <w:r>
              <w:rPr>
                <w:rFonts w:ascii="Consolas" w:eastAsia="Consolas" w:hAnsi="Consolas" w:cs="Consolas"/>
                <w:color w:val="1B1B1B"/>
                <w:sz w:val="18"/>
                <w:szCs w:val="18"/>
              </w:rPr>
              <w:t>┌────────────────────────────────────────────────────────────────┐</w:t>
            </w:r>
          </w:p>
          <w:p w:rsidR="001E3785" w:rsidRDefault="00E75D8F">
            <w:r>
              <w:rPr>
                <w:rFonts w:ascii="Consolas" w:eastAsia="Consolas" w:hAnsi="Consolas" w:cs="Consolas"/>
                <w:color w:val="1B1B1B"/>
                <w:sz w:val="18"/>
                <w:szCs w:val="18"/>
              </w:rPr>
              <w:t>│                    Persistent Volume Mounts                    │</w:t>
            </w:r>
          </w:p>
          <w:p w:rsidR="001E3785" w:rsidRDefault="00E75D8F">
            <w:r>
              <w:rPr>
                <w:rFonts w:ascii="Consolas" w:eastAsia="Consolas" w:hAnsi="Consolas" w:cs="Consolas"/>
                <w:color w:val="1B1B1B"/>
                <w:sz w:val="18"/>
                <w:szCs w:val="18"/>
              </w:rPr>
              <w:t>│      Voice Store · Model Store · Training Store · Config       │</w:t>
            </w:r>
          </w:p>
          <w:p w:rsidR="001E3785" w:rsidRDefault="00E75D8F">
            <w:r>
              <w:rPr>
                <w:rFonts w:ascii="Consolas" w:eastAsia="Consolas" w:hAnsi="Consolas" w:cs="Consolas"/>
                <w:color w:val="1B1B1B"/>
                <w:sz w:val="18"/>
                <w:szCs w:val="18"/>
              </w:rPr>
              <w:t>└────────────────────────────────────────────────────────────────┘</w:t>
            </w:r>
          </w:p>
        </w:tc>
      </w:tr>
    </w:tbl>
    <w:p w:rsidR="001E3785" w:rsidRDefault="00E75D8F">
      <w:pPr>
        <w:spacing w:before="60" w:after="200"/>
      </w:pPr>
      <w:r>
        <w:rPr>
          <w:i/>
          <w:iCs/>
          <w:color w:val="5A6470"/>
          <w:sz w:val="18"/>
          <w:szCs w:val="18"/>
        </w:rPr>
        <w:t>Figure 13.1 — Conceptual Deployment Topology</w:t>
      </w:r>
    </w:p>
    <w:p w:rsidR="001E3785" w:rsidRDefault="00E75D8F">
      <w:pPr>
        <w:pStyle w:val="Heading2"/>
        <w:spacing w:before="320" w:after="140"/>
      </w:pPr>
      <w:r>
        <w:rPr>
          <w:b/>
          <w:bCs/>
          <w:color w:val="2E6E8E"/>
          <w:sz w:val="25"/>
          <w:szCs w:val="25"/>
        </w:rPr>
        <w:t>13.1 Curr</w:t>
      </w:r>
      <w:r>
        <w:rPr>
          <w:b/>
          <w:bCs/>
          <w:color w:val="2E6E8E"/>
          <w:sz w:val="25"/>
          <w:szCs w:val="25"/>
        </w:rPr>
        <w:t>ent Deployment Profile</w:t>
      </w:r>
    </w:p>
    <w:p w:rsidR="001E3785" w:rsidRDefault="00E75D8F">
      <w:pPr>
        <w:spacing w:after="160" w:line="276" w:lineRule="auto"/>
      </w:pPr>
      <w:r>
        <w:rPr>
          <w:color w:val="222222"/>
        </w:rPr>
        <w:t xml:space="preserve">As delivered, the system deploys as a single host process: </w:t>
      </w:r>
      <w:proofErr w:type="gramStart"/>
      <w:r>
        <w:rPr>
          <w:color w:val="222222"/>
        </w:rPr>
        <w:t>the</w:t>
      </w:r>
      <w:proofErr w:type="gramEnd"/>
      <w:r>
        <w:rPr>
          <w:color w:val="222222"/>
        </w:rPr>
        <w:t xml:space="preserve"> Presentation, Application, and Domain layers, together with the primary AI Processing engines, run inside one local runtime; RVC processing runs inside a second, isolated</w:t>
      </w:r>
      <w:r>
        <w:rPr>
          <w:color w:val="222222"/>
        </w:rPr>
        <w:t xml:space="preserve"> local runtime; both are started via host-level setup scripts rather than a packaged image. This profile is appropriate for the system's current single-user, local-desktop usage pattern.</w:t>
      </w:r>
    </w:p>
    <w:p w:rsidR="001E3785" w:rsidRDefault="00E75D8F">
      <w:pPr>
        <w:pStyle w:val="Heading2"/>
        <w:spacing w:before="320" w:after="140"/>
      </w:pPr>
      <w:r>
        <w:rPr>
          <w:b/>
          <w:bCs/>
          <w:color w:val="2E6E8E"/>
          <w:sz w:val="25"/>
          <w:szCs w:val="25"/>
        </w:rPr>
        <w:t>13.2 Designed Deployment Target</w:t>
      </w:r>
    </w:p>
    <w:p w:rsidR="001E3785" w:rsidRDefault="00E75D8F">
      <w:pPr>
        <w:spacing w:after="160" w:line="276" w:lineRule="auto"/>
      </w:pPr>
      <w:r>
        <w:rPr>
          <w:color w:val="222222"/>
        </w:rPr>
        <w:t>The designed target, illustrated in F</w:t>
      </w:r>
      <w:r>
        <w:rPr>
          <w:color w:val="222222"/>
        </w:rPr>
        <w:t xml:space="preserve">igure 13.1, preserves the same two-runtime-boundary shape while making each boundary a discrete, independently </w:t>
      </w:r>
      <w:proofErr w:type="spellStart"/>
      <w:r>
        <w:rPr>
          <w:color w:val="222222"/>
        </w:rPr>
        <w:t>packageable</w:t>
      </w:r>
      <w:proofErr w:type="spellEnd"/>
      <w:r>
        <w:rPr>
          <w:color w:val="222222"/>
        </w:rPr>
        <w:t xml:space="preserve"> unit, and making every store in §14 a mounted volume rather than a path relative to an installation directory. This is a direct gener</w:t>
      </w:r>
      <w:r>
        <w:rPr>
          <w:color w:val="222222"/>
        </w:rPr>
        <w:t xml:space="preserve">alization of the existing structure, not a redesign of it: </w:t>
      </w:r>
      <w:proofErr w:type="gramStart"/>
      <w:r>
        <w:rPr>
          <w:color w:val="222222"/>
        </w:rPr>
        <w:t>the</w:t>
      </w:r>
      <w:proofErr w:type="gramEnd"/>
      <w:r>
        <w:rPr>
          <w:color w:val="222222"/>
        </w:rPr>
        <w:t xml:space="preserve"> Application Runtime Boundary corresponds to what already runs in the primary environment today, and the isolated AI Processing Runtime Boundary corresponds to what already runs in the RVC-speci</w:t>
      </w:r>
      <w:r>
        <w:rPr>
          <w:color w:val="222222"/>
        </w:rPr>
        <w:t>fic environment today.</w:t>
      </w:r>
    </w:p>
    <w:p w:rsidR="001E3785" w:rsidRDefault="00E75D8F">
      <w:pPr>
        <w:pStyle w:val="Heading2"/>
        <w:spacing w:before="320" w:after="140"/>
      </w:pPr>
      <w:r>
        <w:rPr>
          <w:b/>
          <w:bCs/>
          <w:color w:val="2E6E8E"/>
          <w:sz w:val="25"/>
          <w:szCs w:val="25"/>
        </w:rPr>
        <w:t>13.3 Deployment Design Principles</w:t>
      </w:r>
    </w:p>
    <w:p w:rsidR="001E3785" w:rsidRDefault="00E75D8F">
      <w:pPr>
        <w:pStyle w:val="ListParagraph"/>
        <w:numPr>
          <w:ilvl w:val="0"/>
          <w:numId w:val="2"/>
        </w:numPr>
        <w:spacing w:after="90" w:line="268" w:lineRule="auto"/>
      </w:pPr>
      <w:r>
        <w:t>Runtime boundaries map one-to-one onto the existing primary/RVC-isolated runtime split, so containerizing this system is a packaging exercise around existing boundaries, not a new isolation design.</w:t>
      </w:r>
    </w:p>
    <w:p w:rsidR="001E3785" w:rsidRDefault="00E75D8F">
      <w:pPr>
        <w:pStyle w:val="ListParagraph"/>
        <w:numPr>
          <w:ilvl w:val="0"/>
          <w:numId w:val="2"/>
        </w:numPr>
        <w:spacing w:after="90" w:line="268" w:lineRule="auto"/>
      </w:pPr>
      <w:r>
        <w:lastRenderedPageBreak/>
        <w:t>A</w:t>
      </w:r>
      <w:r>
        <w:t>ll durable state lives outside the runtime boundaries, in mounted volumes, so that a runtime instance can be replaced or restarted without data loss — directly addressing the Stage 1 Analysis's observation that container restarts must not lose client data.</w:t>
      </w:r>
    </w:p>
    <w:p w:rsidR="001E3785" w:rsidRDefault="00E75D8F">
      <w:pPr>
        <w:pStyle w:val="ListParagraph"/>
        <w:numPr>
          <w:ilvl w:val="0"/>
          <w:numId w:val="2"/>
        </w:numPr>
        <w:spacing w:after="90" w:line="268" w:lineRule="auto"/>
      </w:pPr>
      <w:r>
        <w:t>The Presentation Layer's network exposure is a deployment-time decision, not an application-layer one: the design assumes the Application Layer is agnostic to whether it is reached from a local browser or a networked one, with access control (§18) applied</w:t>
      </w:r>
      <w:r>
        <w:t xml:space="preserve"> at the deployment boundary.</w:t>
      </w:r>
    </w:p>
    <w:p w:rsidR="001E3785" w:rsidRDefault="00E75D8F">
      <w:r>
        <w:br w:type="page"/>
      </w:r>
    </w:p>
    <w:p w:rsidR="001E3785" w:rsidRDefault="00E75D8F">
      <w:pPr>
        <w:pStyle w:val="Heading1"/>
        <w:pBdr>
          <w:bottom w:val="single" w:sz="8" w:space="4" w:color="2E6E8E"/>
        </w:pBdr>
        <w:spacing w:before="420" w:after="200"/>
      </w:pPr>
      <w:r>
        <w:rPr>
          <w:b/>
          <w:bCs/>
          <w:color w:val="1B2A4A"/>
          <w:sz w:val="30"/>
          <w:szCs w:val="30"/>
        </w:rPr>
        <w:lastRenderedPageBreak/>
        <w:t>14. Storage Architecture</w:t>
      </w:r>
    </w:p>
    <w:p w:rsidR="001E3785" w:rsidRDefault="00E75D8F">
      <w:pPr>
        <w:spacing w:after="160" w:line="276" w:lineRule="auto"/>
      </w:pPr>
      <w:r>
        <w:rPr>
          <w:color w:val="222222"/>
        </w:rPr>
        <w:t>Storage is realized as four logical stores. Each is described here by responsibility and content shape only — no schema or file-format specification is included, consistent with this document's scope.</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2200"/>
        <w:gridCol w:w="4400"/>
        <w:gridCol w:w="2760"/>
      </w:tblGrid>
      <w:tr w:rsidR="001E3785">
        <w:tblPrEx>
          <w:tblCellMar>
            <w:top w:w="0" w:type="dxa"/>
            <w:bottom w:w="0" w:type="dxa"/>
          </w:tblCellMar>
        </w:tblPrEx>
        <w:trPr>
          <w:tblHeader/>
        </w:trPr>
        <w:tc>
          <w:tcPr>
            <w:tcW w:w="22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Store</w:t>
            </w:r>
          </w:p>
        </w:tc>
        <w:tc>
          <w:tcPr>
            <w:tcW w:w="44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Responsibility</w:t>
            </w:r>
          </w:p>
        </w:tc>
        <w:tc>
          <w:tcPr>
            <w:tcW w:w="276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Current Realization</w:t>
            </w:r>
          </w:p>
        </w:tc>
      </w:tr>
      <w:tr w:rsidR="001E3785">
        <w:tblPrEx>
          <w:tblCellMar>
            <w:top w:w="0" w:type="dxa"/>
            <w:bottom w:w="0" w:type="dxa"/>
          </w:tblCellMar>
        </w:tblPrEx>
        <w:tc>
          <w:tcPr>
            <w:tcW w:w="2200" w:type="dxa"/>
            <w:tcMar>
              <w:top w:w="80" w:type="dxa"/>
              <w:left w:w="110" w:type="dxa"/>
              <w:bottom w:w="80" w:type="dxa"/>
              <w:right w:w="110" w:type="dxa"/>
            </w:tcMar>
            <w:vAlign w:val="center"/>
          </w:tcPr>
          <w:p w:rsidR="001E3785" w:rsidRDefault="00E75D8F">
            <w:pPr>
              <w:spacing w:line="250" w:lineRule="auto"/>
            </w:pPr>
            <w:r>
              <w:rPr>
                <w:color w:val="1E1E1E"/>
                <w:sz w:val="19"/>
                <w:szCs w:val="19"/>
              </w:rPr>
              <w:t>Voice Store</w:t>
            </w:r>
          </w:p>
        </w:tc>
        <w:tc>
          <w:tcPr>
            <w:tcW w:w="4400" w:type="dxa"/>
            <w:tcMar>
              <w:top w:w="80" w:type="dxa"/>
              <w:left w:w="110" w:type="dxa"/>
              <w:bottom w:w="80" w:type="dxa"/>
              <w:right w:w="110" w:type="dxa"/>
            </w:tcMar>
            <w:vAlign w:val="center"/>
          </w:tcPr>
          <w:p w:rsidR="001E3785" w:rsidRDefault="00E75D8F">
            <w:pPr>
              <w:spacing w:line="250" w:lineRule="auto"/>
            </w:pPr>
            <w:r>
              <w:rPr>
                <w:color w:val="1E1E1E"/>
                <w:sz w:val="19"/>
                <w:szCs w:val="19"/>
              </w:rPr>
              <w:t xml:space="preserve">Durable library of named, reusable reference voices: reference audio, reference text, and (where trained) an associated Model </w:t>
            </w:r>
            <w:proofErr w:type="spellStart"/>
            <w:r>
              <w:rPr>
                <w:color w:val="1E1E1E"/>
                <w:sz w:val="19"/>
                <w:szCs w:val="19"/>
              </w:rPr>
              <w:t>Artifact</w:t>
            </w:r>
            <w:proofErr w:type="spellEnd"/>
            <w:r>
              <w:rPr>
                <w:color w:val="1E1E1E"/>
                <w:sz w:val="19"/>
                <w:szCs w:val="19"/>
              </w:rPr>
              <w:t xml:space="preserve"> reference.</w:t>
            </w:r>
          </w:p>
        </w:tc>
        <w:tc>
          <w:tcPr>
            <w:tcW w:w="2760" w:type="dxa"/>
            <w:tcMar>
              <w:top w:w="80" w:type="dxa"/>
              <w:left w:w="110" w:type="dxa"/>
              <w:bottom w:w="80" w:type="dxa"/>
              <w:right w:w="110" w:type="dxa"/>
            </w:tcMar>
            <w:vAlign w:val="center"/>
          </w:tcPr>
          <w:p w:rsidR="001E3785" w:rsidRDefault="00E75D8F">
            <w:pPr>
              <w:spacing w:line="250" w:lineRule="auto"/>
            </w:pPr>
            <w:r>
              <w:rPr>
                <w:color w:val="1E1E1E"/>
                <w:sz w:val="19"/>
                <w:szCs w:val="19"/>
              </w:rPr>
              <w:t>Filesystem directory, one subdirectory per voice</w:t>
            </w:r>
          </w:p>
        </w:tc>
      </w:tr>
      <w:tr w:rsidR="001E3785">
        <w:tblPrEx>
          <w:tblCellMar>
            <w:top w:w="0" w:type="dxa"/>
            <w:bottom w:w="0" w:type="dxa"/>
          </w:tblCellMar>
        </w:tblPrEx>
        <w:tc>
          <w:tcPr>
            <w:tcW w:w="22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Model Store</w:t>
            </w:r>
          </w:p>
        </w:tc>
        <w:tc>
          <w:tcPr>
            <w:tcW w:w="44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 xml:space="preserve">Durable </w:t>
            </w:r>
            <w:proofErr w:type="spellStart"/>
            <w:r>
              <w:rPr>
                <w:color w:val="1E1E1E"/>
                <w:sz w:val="19"/>
                <w:szCs w:val="19"/>
              </w:rPr>
              <w:t>catalog</w:t>
            </w:r>
            <w:proofErr w:type="spellEnd"/>
            <w:r>
              <w:rPr>
                <w:color w:val="1E1E1E"/>
                <w:sz w:val="19"/>
                <w:szCs w:val="19"/>
              </w:rPr>
              <w:t xml:space="preserve"> of trained or convertible voice models and their retrieval </w:t>
            </w:r>
            <w:proofErr w:type="spellStart"/>
            <w:r>
              <w:rPr>
                <w:color w:val="1E1E1E"/>
                <w:sz w:val="19"/>
                <w:szCs w:val="19"/>
              </w:rPr>
              <w:t>artifacts</w:t>
            </w:r>
            <w:proofErr w:type="spellEnd"/>
            <w:r>
              <w:rPr>
                <w:color w:val="1E1E1E"/>
                <w:sz w:val="19"/>
                <w:szCs w:val="19"/>
              </w:rPr>
              <w:t>.</w:t>
            </w:r>
          </w:p>
        </w:tc>
        <w:tc>
          <w:tcPr>
            <w:tcW w:w="2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Filesystem directory, flat file listing</w:t>
            </w:r>
          </w:p>
        </w:tc>
      </w:tr>
      <w:tr w:rsidR="001E3785">
        <w:tblPrEx>
          <w:tblCellMar>
            <w:top w:w="0" w:type="dxa"/>
            <w:bottom w:w="0" w:type="dxa"/>
          </w:tblCellMar>
        </w:tblPrEx>
        <w:tc>
          <w:tcPr>
            <w:tcW w:w="2200" w:type="dxa"/>
            <w:tcMar>
              <w:top w:w="80" w:type="dxa"/>
              <w:left w:w="110" w:type="dxa"/>
              <w:bottom w:w="80" w:type="dxa"/>
              <w:right w:w="110" w:type="dxa"/>
            </w:tcMar>
            <w:vAlign w:val="center"/>
          </w:tcPr>
          <w:p w:rsidR="001E3785" w:rsidRDefault="00E75D8F">
            <w:pPr>
              <w:spacing w:line="250" w:lineRule="auto"/>
            </w:pPr>
            <w:r>
              <w:rPr>
                <w:color w:val="1E1E1E"/>
                <w:sz w:val="19"/>
                <w:szCs w:val="19"/>
              </w:rPr>
              <w:t>Training Store</w:t>
            </w:r>
          </w:p>
        </w:tc>
        <w:tc>
          <w:tcPr>
            <w:tcW w:w="4400" w:type="dxa"/>
            <w:tcMar>
              <w:top w:w="80" w:type="dxa"/>
              <w:left w:w="110" w:type="dxa"/>
              <w:bottom w:w="80" w:type="dxa"/>
              <w:right w:w="110" w:type="dxa"/>
            </w:tcMar>
            <w:vAlign w:val="center"/>
          </w:tcPr>
          <w:p w:rsidR="001E3785" w:rsidRDefault="00E75D8F">
            <w:pPr>
              <w:spacing w:line="250" w:lineRule="auto"/>
            </w:pPr>
            <w:r>
              <w:rPr>
                <w:color w:val="1E1E1E"/>
                <w:sz w:val="19"/>
                <w:szCs w:val="19"/>
              </w:rPr>
              <w:t>Session-scoped storage of raw and processed training audio, organized per Training Session.</w:t>
            </w:r>
          </w:p>
        </w:tc>
        <w:tc>
          <w:tcPr>
            <w:tcW w:w="2760" w:type="dxa"/>
            <w:tcMar>
              <w:top w:w="80" w:type="dxa"/>
              <w:left w:w="110" w:type="dxa"/>
              <w:bottom w:w="80" w:type="dxa"/>
              <w:right w:w="110" w:type="dxa"/>
            </w:tcMar>
            <w:vAlign w:val="center"/>
          </w:tcPr>
          <w:p w:rsidR="001E3785" w:rsidRDefault="00E75D8F">
            <w:pPr>
              <w:spacing w:line="250" w:lineRule="auto"/>
            </w:pPr>
            <w:r>
              <w:rPr>
                <w:color w:val="1E1E1E"/>
                <w:sz w:val="19"/>
                <w:szCs w:val="19"/>
              </w:rPr>
              <w:t>Filesystem directory, one subdirectory per session</w:t>
            </w:r>
          </w:p>
        </w:tc>
      </w:tr>
      <w:tr w:rsidR="001E3785">
        <w:tblPrEx>
          <w:tblCellMar>
            <w:top w:w="0" w:type="dxa"/>
            <w:bottom w:w="0" w:type="dxa"/>
          </w:tblCellMar>
        </w:tblPrEx>
        <w:tc>
          <w:tcPr>
            <w:tcW w:w="22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Temp / Cache Store</w:t>
            </w:r>
          </w:p>
        </w:tc>
        <w:tc>
          <w:tcPr>
            <w:tcW w:w="44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Short-lived storage for in-progress and just-completed generation output, plus AI engine model/download caches.</w:t>
            </w:r>
          </w:p>
        </w:tc>
        <w:tc>
          <w:tcPr>
            <w:tcW w:w="2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Filesystem temp directory + engine-managed cache directory</w:t>
            </w:r>
          </w:p>
        </w:tc>
      </w:tr>
    </w:tbl>
    <w:p w:rsidR="001E3785" w:rsidRDefault="00E75D8F">
      <w:pPr>
        <w:pStyle w:val="Heading2"/>
        <w:spacing w:before="320" w:after="140"/>
      </w:pPr>
      <w:r>
        <w:rPr>
          <w:b/>
          <w:bCs/>
          <w:color w:val="2E6E8E"/>
          <w:sz w:val="25"/>
          <w:szCs w:val="25"/>
        </w:rPr>
        <w:t>14.1 Storage Design Principles</w:t>
      </w:r>
    </w:p>
    <w:p w:rsidR="001E3785" w:rsidRDefault="00E75D8F">
      <w:pPr>
        <w:pStyle w:val="ListParagraph"/>
        <w:numPr>
          <w:ilvl w:val="0"/>
          <w:numId w:val="2"/>
        </w:numPr>
        <w:spacing w:after="90" w:line="268" w:lineRule="auto"/>
      </w:pPr>
      <w:r>
        <w:t>Filesystem-as-store is retained by design (see §22, Decision D-1) rather than introducing a database, since the system's current single-tenant profile does not require concurrent-write coordination, relational querying, or tr</w:t>
      </w:r>
      <w:r>
        <w:t>ansactional guarantees a database would provide.</w:t>
      </w:r>
    </w:p>
    <w:p w:rsidR="001E3785" w:rsidRDefault="00E75D8F">
      <w:pPr>
        <w:pStyle w:val="ListParagraph"/>
        <w:numPr>
          <w:ilvl w:val="0"/>
          <w:numId w:val="2"/>
        </w:numPr>
        <w:spacing w:after="90" w:line="268" w:lineRule="auto"/>
      </w:pPr>
      <w:r>
        <w:t>Each store is independently addressable, so that the designed deployment target (§13) can mount each as its own volume with its own retention/backup policy, without entangling, for example, disposable Temp/C</w:t>
      </w:r>
      <w:r>
        <w:t>ache content with durable Voice Store content.</w:t>
      </w:r>
    </w:p>
    <w:p w:rsidR="001E3785" w:rsidRDefault="00E75D8F">
      <w:pPr>
        <w:pStyle w:val="ListParagraph"/>
        <w:numPr>
          <w:ilvl w:val="0"/>
          <w:numId w:val="2"/>
        </w:numPr>
        <w:spacing w:after="90" w:line="268" w:lineRule="auto"/>
      </w:pPr>
      <w:r>
        <w:t xml:space="preserve">Promotion between stores is explicit and one-directional in the common case: generation output starts in Temp/Cache and is explicitly promoted to the Voice Store by a save action; raw training audio starts in </w:t>
      </w:r>
      <w:r>
        <w:t xml:space="preserve">the Training Store and is explicitly promoted to the Model Store by successful training completion. No component silently duplicates an </w:t>
      </w:r>
      <w:proofErr w:type="spellStart"/>
      <w:r>
        <w:t>artifact</w:t>
      </w:r>
      <w:proofErr w:type="spellEnd"/>
      <w:r>
        <w:t xml:space="preserve"> across stores.</w:t>
      </w:r>
    </w:p>
    <w:p w:rsidR="001E3785" w:rsidRDefault="00E75D8F">
      <w:r>
        <w:br w:type="page"/>
      </w:r>
    </w:p>
    <w:p w:rsidR="001E3785" w:rsidRDefault="00E75D8F">
      <w:pPr>
        <w:pStyle w:val="Heading1"/>
        <w:pBdr>
          <w:bottom w:val="single" w:sz="8" w:space="4" w:color="2E6E8E"/>
        </w:pBdr>
        <w:spacing w:before="420" w:after="200"/>
      </w:pPr>
      <w:r>
        <w:rPr>
          <w:b/>
          <w:bCs/>
          <w:color w:val="1B2A4A"/>
          <w:sz w:val="30"/>
          <w:szCs w:val="30"/>
        </w:rPr>
        <w:lastRenderedPageBreak/>
        <w:t>15. Configuration Architecture</w:t>
      </w:r>
    </w:p>
    <w:p w:rsidR="001E3785" w:rsidRDefault="00E75D8F">
      <w:pPr>
        <w:pStyle w:val="Heading2"/>
        <w:spacing w:before="320" w:after="140"/>
      </w:pPr>
      <w:r>
        <w:rPr>
          <w:b/>
          <w:bCs/>
          <w:color w:val="2E6E8E"/>
          <w:sz w:val="25"/>
          <w:szCs w:val="25"/>
        </w:rPr>
        <w:t>15.1 Current State</w:t>
      </w:r>
    </w:p>
    <w:p w:rsidR="001E3785" w:rsidRDefault="00E75D8F">
      <w:pPr>
        <w:spacing w:after="160" w:line="276" w:lineRule="auto"/>
      </w:pPr>
      <w:r>
        <w:rPr>
          <w:color w:val="222222"/>
        </w:rPr>
        <w:t>Configuration today is distributed across th</w:t>
      </w:r>
      <w:r>
        <w:rPr>
          <w:color w:val="222222"/>
        </w:rPr>
        <w:t xml:space="preserve">ree mechanisms with no central authority: environment variables set at process start, constants embedded directly in application code, and a small number of per-invocation, generated configuration files consumed by an external engine. The Stage 1 Analysis </w:t>
      </w:r>
      <w:r>
        <w:rPr>
          <w:color w:val="222222"/>
        </w:rPr>
        <w:t>additionally found leftover, machine-specific configuration values checked into the delivered project, which this design explicitly does not carry forward as a target pattern.</w:t>
      </w:r>
    </w:p>
    <w:p w:rsidR="001E3785" w:rsidRDefault="00E75D8F">
      <w:pPr>
        <w:pStyle w:val="Heading2"/>
        <w:spacing w:before="320" w:after="140"/>
      </w:pPr>
      <w:r>
        <w:rPr>
          <w:b/>
          <w:bCs/>
          <w:color w:val="2E6E8E"/>
          <w:sz w:val="25"/>
          <w:szCs w:val="25"/>
        </w:rPr>
        <w:t>15.2 Designed Target</w:t>
      </w:r>
    </w:p>
    <w:p w:rsidR="001E3785" w:rsidRDefault="00E75D8F">
      <w:pPr>
        <w:spacing w:after="160" w:line="276" w:lineRule="auto"/>
      </w:pPr>
      <w:r>
        <w:rPr>
          <w:color w:val="222222"/>
        </w:rPr>
        <w:t>The designed configuration architecture introduces a single</w:t>
      </w:r>
      <w:r>
        <w:rPr>
          <w:color w:val="222222"/>
        </w:rPr>
        <w:t>, centralized configuration surface with three scopes, without altering how any existing component consumes its own settings internally:</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2000"/>
        <w:gridCol w:w="3600"/>
        <w:gridCol w:w="3760"/>
      </w:tblGrid>
      <w:tr w:rsidR="001E3785">
        <w:tblPrEx>
          <w:tblCellMar>
            <w:top w:w="0" w:type="dxa"/>
            <w:bottom w:w="0" w:type="dxa"/>
          </w:tblCellMar>
        </w:tblPrEx>
        <w:trPr>
          <w:tblHeader/>
        </w:trPr>
        <w:tc>
          <w:tcPr>
            <w:tcW w:w="20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Scope</w:t>
            </w:r>
          </w:p>
        </w:tc>
        <w:tc>
          <w:tcPr>
            <w:tcW w:w="36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Contains</w:t>
            </w:r>
          </w:p>
        </w:tc>
        <w:tc>
          <w:tcPr>
            <w:tcW w:w="376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Examples</w:t>
            </w:r>
          </w:p>
        </w:tc>
      </w:tr>
      <w:tr w:rsidR="001E3785">
        <w:tblPrEx>
          <w:tblCellMar>
            <w:top w:w="0" w:type="dxa"/>
            <w:bottom w:w="0" w:type="dxa"/>
          </w:tblCellMar>
        </w:tblPrEx>
        <w:tc>
          <w:tcPr>
            <w:tcW w:w="2000" w:type="dxa"/>
            <w:tcMar>
              <w:top w:w="80" w:type="dxa"/>
              <w:left w:w="110" w:type="dxa"/>
              <w:bottom w:w="80" w:type="dxa"/>
              <w:right w:w="110" w:type="dxa"/>
            </w:tcMar>
            <w:vAlign w:val="center"/>
          </w:tcPr>
          <w:p w:rsidR="001E3785" w:rsidRDefault="00E75D8F">
            <w:pPr>
              <w:spacing w:line="250" w:lineRule="auto"/>
            </w:pPr>
            <w:r>
              <w:rPr>
                <w:color w:val="1E1E1E"/>
                <w:sz w:val="19"/>
                <w:szCs w:val="19"/>
              </w:rPr>
              <w:t>Deployment configuration</w:t>
            </w:r>
          </w:p>
        </w:tc>
        <w:tc>
          <w:tcPr>
            <w:tcW w:w="3600" w:type="dxa"/>
            <w:tcMar>
              <w:top w:w="80" w:type="dxa"/>
              <w:left w:w="110" w:type="dxa"/>
              <w:bottom w:w="80" w:type="dxa"/>
              <w:right w:w="110" w:type="dxa"/>
            </w:tcMar>
            <w:vAlign w:val="center"/>
          </w:tcPr>
          <w:p w:rsidR="001E3785" w:rsidRDefault="00E75D8F">
            <w:pPr>
              <w:spacing w:line="250" w:lineRule="auto"/>
            </w:pPr>
            <w:r>
              <w:rPr>
                <w:color w:val="1E1E1E"/>
                <w:sz w:val="19"/>
                <w:szCs w:val="19"/>
              </w:rPr>
              <w:t>Values that differ by environment (local, staging, client-hosted)</w:t>
            </w:r>
          </w:p>
        </w:tc>
        <w:tc>
          <w:tcPr>
            <w:tcW w:w="3760" w:type="dxa"/>
            <w:tcMar>
              <w:top w:w="80" w:type="dxa"/>
              <w:left w:w="110" w:type="dxa"/>
              <w:bottom w:w="80" w:type="dxa"/>
              <w:right w:w="110" w:type="dxa"/>
            </w:tcMar>
            <w:vAlign w:val="center"/>
          </w:tcPr>
          <w:p w:rsidR="001E3785" w:rsidRDefault="00E75D8F">
            <w:pPr>
              <w:spacing w:line="250" w:lineRule="auto"/>
            </w:pPr>
            <w:r>
              <w:rPr>
                <w:color w:val="1E1E1E"/>
                <w:sz w:val="19"/>
                <w:szCs w:val="19"/>
              </w:rPr>
              <w:t>Store mount paths, network binding, runtime resource limits</w:t>
            </w:r>
          </w:p>
        </w:tc>
      </w:tr>
      <w:tr w:rsidR="001E3785">
        <w:tblPrEx>
          <w:tblCellMar>
            <w:top w:w="0" w:type="dxa"/>
            <w:bottom w:w="0" w:type="dxa"/>
          </w:tblCellMar>
        </w:tblPrEx>
        <w:tc>
          <w:tcPr>
            <w:tcW w:w="20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Engine configuration</w:t>
            </w:r>
          </w:p>
        </w:tc>
        <w:tc>
          <w:tcPr>
            <w:tcW w:w="3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Per-AI-engine settings</w:t>
            </w:r>
          </w:p>
        </w:tc>
        <w:tc>
          <w:tcPr>
            <w:tcW w:w="3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Selected voice-generation checkpoint, narration voice defaults, conversion pitch defaults</w:t>
            </w:r>
          </w:p>
        </w:tc>
      </w:tr>
      <w:tr w:rsidR="001E3785">
        <w:tblPrEx>
          <w:tblCellMar>
            <w:top w:w="0" w:type="dxa"/>
            <w:bottom w:w="0" w:type="dxa"/>
          </w:tblCellMar>
        </w:tblPrEx>
        <w:tc>
          <w:tcPr>
            <w:tcW w:w="2000" w:type="dxa"/>
            <w:tcMar>
              <w:top w:w="80" w:type="dxa"/>
              <w:left w:w="110" w:type="dxa"/>
              <w:bottom w:w="80" w:type="dxa"/>
              <w:right w:w="110" w:type="dxa"/>
            </w:tcMar>
            <w:vAlign w:val="center"/>
          </w:tcPr>
          <w:p w:rsidR="001E3785" w:rsidRDefault="00E75D8F">
            <w:pPr>
              <w:spacing w:line="250" w:lineRule="auto"/>
            </w:pPr>
            <w:r>
              <w:rPr>
                <w:color w:val="1E1E1E"/>
                <w:sz w:val="19"/>
                <w:szCs w:val="19"/>
              </w:rPr>
              <w:t>Feature configuration</w:t>
            </w:r>
          </w:p>
        </w:tc>
        <w:tc>
          <w:tcPr>
            <w:tcW w:w="3600" w:type="dxa"/>
            <w:tcMar>
              <w:top w:w="80" w:type="dxa"/>
              <w:left w:w="110" w:type="dxa"/>
              <w:bottom w:w="80" w:type="dxa"/>
              <w:right w:w="110" w:type="dxa"/>
            </w:tcMar>
            <w:vAlign w:val="center"/>
          </w:tcPr>
          <w:p w:rsidR="001E3785" w:rsidRDefault="00E75D8F">
            <w:pPr>
              <w:spacing w:line="250" w:lineRule="auto"/>
            </w:pPr>
            <w:r>
              <w:rPr>
                <w:color w:val="1E1E1E"/>
                <w:sz w:val="19"/>
                <w:szCs w:val="19"/>
              </w:rPr>
              <w:t xml:space="preserve">Toggles for designed-but-optional </w:t>
            </w:r>
            <w:proofErr w:type="spellStart"/>
            <w:r>
              <w:rPr>
                <w:color w:val="1E1E1E"/>
                <w:sz w:val="19"/>
                <w:szCs w:val="19"/>
              </w:rPr>
              <w:t>behavior</w:t>
            </w:r>
            <w:proofErr w:type="spellEnd"/>
          </w:p>
        </w:tc>
        <w:tc>
          <w:tcPr>
            <w:tcW w:w="3760" w:type="dxa"/>
            <w:tcMar>
              <w:top w:w="80" w:type="dxa"/>
              <w:left w:w="110" w:type="dxa"/>
              <w:bottom w:w="80" w:type="dxa"/>
              <w:right w:w="110" w:type="dxa"/>
            </w:tcMar>
            <w:vAlign w:val="center"/>
          </w:tcPr>
          <w:p w:rsidR="001E3785" w:rsidRDefault="00E75D8F">
            <w:pPr>
              <w:spacing w:line="250" w:lineRule="auto"/>
            </w:pPr>
            <w:r>
              <w:rPr>
                <w:color w:val="1E1E1E"/>
                <w:sz w:val="19"/>
                <w:szCs w:val="19"/>
              </w:rPr>
              <w:t>Whether Pronunciation Routing auto-applies or requires confirmation; which tabs are exposed</w:t>
            </w:r>
          </w:p>
        </w:tc>
      </w:tr>
    </w:tbl>
    <w:p w:rsidR="001E3785" w:rsidRDefault="00E75D8F">
      <w:pPr>
        <w:spacing w:after="160" w:line="276" w:lineRule="auto"/>
      </w:pPr>
      <w:r>
        <w:rPr>
          <w:color w:val="222222"/>
        </w:rPr>
        <w:t>This centralization is additive: it is designed to live alongside, not replace, the existing per-engine generated configuration files, which remain the correct mechanism for engine-specific, per-invocation parameters. Section 23's optional config/ folder i</w:t>
      </w:r>
      <w:r>
        <w:rPr>
          <w:color w:val="222222"/>
        </w:rPr>
        <w:t>s the proposed home for this centralized layer.</w:t>
      </w:r>
    </w:p>
    <w:p w:rsidR="001E3785" w:rsidRDefault="00E75D8F">
      <w:r>
        <w:br w:type="page"/>
      </w:r>
    </w:p>
    <w:p w:rsidR="001E3785" w:rsidRDefault="00E75D8F">
      <w:pPr>
        <w:pStyle w:val="Heading1"/>
        <w:pBdr>
          <w:bottom w:val="single" w:sz="8" w:space="4" w:color="2E6E8E"/>
        </w:pBdr>
        <w:spacing w:before="420" w:after="200"/>
      </w:pPr>
      <w:r>
        <w:rPr>
          <w:b/>
          <w:bCs/>
          <w:color w:val="1B2A4A"/>
          <w:sz w:val="30"/>
          <w:szCs w:val="30"/>
        </w:rPr>
        <w:lastRenderedPageBreak/>
        <w:t>16. Logging Architecture</w:t>
      </w:r>
    </w:p>
    <w:p w:rsidR="001E3785" w:rsidRDefault="00E75D8F">
      <w:pPr>
        <w:pStyle w:val="Heading2"/>
        <w:spacing w:before="320" w:after="140"/>
      </w:pPr>
      <w:r>
        <w:rPr>
          <w:b/>
          <w:bCs/>
          <w:color w:val="2E6E8E"/>
          <w:sz w:val="25"/>
          <w:szCs w:val="25"/>
        </w:rPr>
        <w:t>16.1 Current State</w:t>
      </w:r>
    </w:p>
    <w:p w:rsidR="001E3785" w:rsidRDefault="00E75D8F">
      <w:pPr>
        <w:spacing w:after="160" w:line="276" w:lineRule="auto"/>
      </w:pPr>
      <w:r>
        <w:rPr>
          <w:color w:val="222222"/>
        </w:rPr>
        <w:t>No structured logging exists in the current implementation. Diagnostic information today takes the form of ad hoc, per-function error strings that are surfaced directly to the Presentation Layer when an operation fails — useful to the end user in the momen</w:t>
      </w:r>
      <w:r>
        <w:rPr>
          <w:color w:val="222222"/>
        </w:rPr>
        <w:t>t, but not captured anywhere for later troubleshooting, auditing, or trend analysis.</w:t>
      </w:r>
    </w:p>
    <w:p w:rsidR="001E3785" w:rsidRDefault="00E75D8F">
      <w:pPr>
        <w:pStyle w:val="Heading2"/>
        <w:spacing w:before="320" w:after="140"/>
      </w:pPr>
      <w:r>
        <w:rPr>
          <w:b/>
          <w:bCs/>
          <w:color w:val="2E6E8E"/>
          <w:sz w:val="25"/>
          <w:szCs w:val="25"/>
        </w:rPr>
        <w:t>16.2 Designed Target</w:t>
      </w:r>
    </w:p>
    <w:p w:rsidR="001E3785" w:rsidRDefault="00E75D8F">
      <w:pPr>
        <w:spacing w:after="160" w:line="276" w:lineRule="auto"/>
      </w:pPr>
      <w:r>
        <w:rPr>
          <w:color w:val="222222"/>
        </w:rPr>
        <w:t xml:space="preserve">Logging is designed as a cross-cutting Infrastructure Layer capability, attached to every layer above it without requiring those layers to know about </w:t>
      </w:r>
      <w:r>
        <w:rPr>
          <w:color w:val="222222"/>
        </w:rPr>
        <w:t>logging mechanics directly — each layer reports what happened; the Logging component is solely responsible for how that report is recorded.</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1800"/>
        <w:gridCol w:w="3500"/>
        <w:gridCol w:w="4060"/>
      </w:tblGrid>
      <w:tr w:rsidR="001E3785">
        <w:tblPrEx>
          <w:tblCellMar>
            <w:top w:w="0" w:type="dxa"/>
            <w:bottom w:w="0" w:type="dxa"/>
          </w:tblCellMar>
        </w:tblPrEx>
        <w:trPr>
          <w:tblHeader/>
        </w:trPr>
        <w:tc>
          <w:tcPr>
            <w:tcW w:w="18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Log Level</w:t>
            </w:r>
          </w:p>
        </w:tc>
        <w:tc>
          <w:tcPr>
            <w:tcW w:w="35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Purpose</w:t>
            </w:r>
          </w:p>
        </w:tc>
        <w:tc>
          <w:tcPr>
            <w:tcW w:w="406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Example Event</w:t>
            </w:r>
          </w:p>
        </w:tc>
      </w:tr>
      <w:tr w:rsidR="001E3785">
        <w:tblPrEx>
          <w:tblCellMar>
            <w:top w:w="0" w:type="dxa"/>
            <w:bottom w:w="0" w:type="dxa"/>
          </w:tblCellMar>
        </w:tblPrEx>
        <w:tc>
          <w:tcPr>
            <w:tcW w:w="1800" w:type="dxa"/>
            <w:tcMar>
              <w:top w:w="80" w:type="dxa"/>
              <w:left w:w="110" w:type="dxa"/>
              <w:bottom w:w="80" w:type="dxa"/>
              <w:right w:w="110" w:type="dxa"/>
            </w:tcMar>
            <w:vAlign w:val="center"/>
          </w:tcPr>
          <w:p w:rsidR="001E3785" w:rsidRDefault="00E75D8F">
            <w:pPr>
              <w:spacing w:line="250" w:lineRule="auto"/>
            </w:pPr>
            <w:r>
              <w:rPr>
                <w:color w:val="1E1E1E"/>
                <w:sz w:val="19"/>
                <w:szCs w:val="19"/>
              </w:rPr>
              <w:t>ERROR</w:t>
            </w:r>
          </w:p>
        </w:tc>
        <w:tc>
          <w:tcPr>
            <w:tcW w:w="3500" w:type="dxa"/>
            <w:tcMar>
              <w:top w:w="80" w:type="dxa"/>
              <w:left w:w="110" w:type="dxa"/>
              <w:bottom w:w="80" w:type="dxa"/>
              <w:right w:w="110" w:type="dxa"/>
            </w:tcMar>
            <w:vAlign w:val="center"/>
          </w:tcPr>
          <w:p w:rsidR="001E3785" w:rsidRDefault="00E75D8F">
            <w:pPr>
              <w:spacing w:line="250" w:lineRule="auto"/>
            </w:pPr>
            <w:r>
              <w:rPr>
                <w:color w:val="1E1E1E"/>
                <w:sz w:val="19"/>
                <w:szCs w:val="19"/>
              </w:rPr>
              <w:t>An operation failed and could not complete</w:t>
            </w:r>
          </w:p>
        </w:tc>
        <w:tc>
          <w:tcPr>
            <w:tcW w:w="4060" w:type="dxa"/>
            <w:tcMar>
              <w:top w:w="80" w:type="dxa"/>
              <w:left w:w="110" w:type="dxa"/>
              <w:bottom w:w="80" w:type="dxa"/>
              <w:right w:w="110" w:type="dxa"/>
            </w:tcMar>
            <w:vAlign w:val="center"/>
          </w:tcPr>
          <w:p w:rsidR="001E3785" w:rsidRDefault="00E75D8F">
            <w:pPr>
              <w:spacing w:line="250" w:lineRule="auto"/>
            </w:pPr>
            <w:r>
              <w:rPr>
                <w:color w:val="1E1E1E"/>
                <w:sz w:val="19"/>
                <w:szCs w:val="19"/>
              </w:rPr>
              <w:t>AI Processing engine invocation failed; Storage write failed</w:t>
            </w:r>
          </w:p>
        </w:tc>
      </w:tr>
      <w:tr w:rsidR="001E3785">
        <w:tblPrEx>
          <w:tblCellMar>
            <w:top w:w="0" w:type="dxa"/>
            <w:bottom w:w="0" w:type="dxa"/>
          </w:tblCellMar>
        </w:tblPrEx>
        <w:tc>
          <w:tcPr>
            <w:tcW w:w="18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WARN</w:t>
            </w:r>
          </w:p>
        </w:tc>
        <w:tc>
          <w:tcPr>
            <w:tcW w:w="35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An operation completed but with a degraded or unexpected condition</w:t>
            </w:r>
          </w:p>
        </w:tc>
        <w:tc>
          <w:tcPr>
            <w:tcW w:w="40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Pronunciation Routing skipped for a line whose language could not be determined</w:t>
            </w:r>
          </w:p>
        </w:tc>
      </w:tr>
      <w:tr w:rsidR="001E3785">
        <w:tblPrEx>
          <w:tblCellMar>
            <w:top w:w="0" w:type="dxa"/>
            <w:bottom w:w="0" w:type="dxa"/>
          </w:tblCellMar>
        </w:tblPrEx>
        <w:tc>
          <w:tcPr>
            <w:tcW w:w="1800" w:type="dxa"/>
            <w:tcMar>
              <w:top w:w="80" w:type="dxa"/>
              <w:left w:w="110" w:type="dxa"/>
              <w:bottom w:w="80" w:type="dxa"/>
              <w:right w:w="110" w:type="dxa"/>
            </w:tcMar>
            <w:vAlign w:val="center"/>
          </w:tcPr>
          <w:p w:rsidR="001E3785" w:rsidRDefault="00E75D8F">
            <w:pPr>
              <w:spacing w:line="250" w:lineRule="auto"/>
            </w:pPr>
            <w:r>
              <w:rPr>
                <w:color w:val="1E1E1E"/>
                <w:sz w:val="19"/>
                <w:szCs w:val="19"/>
              </w:rPr>
              <w:t>INFO</w:t>
            </w:r>
          </w:p>
        </w:tc>
        <w:tc>
          <w:tcPr>
            <w:tcW w:w="3500" w:type="dxa"/>
            <w:tcMar>
              <w:top w:w="80" w:type="dxa"/>
              <w:left w:w="110" w:type="dxa"/>
              <w:bottom w:w="80" w:type="dxa"/>
              <w:right w:w="110" w:type="dxa"/>
            </w:tcMar>
            <w:vAlign w:val="center"/>
          </w:tcPr>
          <w:p w:rsidR="001E3785" w:rsidRDefault="00E75D8F">
            <w:pPr>
              <w:spacing w:line="250" w:lineRule="auto"/>
            </w:pPr>
            <w:r>
              <w:rPr>
                <w:color w:val="1E1E1E"/>
                <w:sz w:val="19"/>
                <w:szCs w:val="19"/>
              </w:rPr>
              <w:t>A significant operation completed normally</w:t>
            </w:r>
          </w:p>
        </w:tc>
        <w:tc>
          <w:tcPr>
            <w:tcW w:w="4060" w:type="dxa"/>
            <w:tcMar>
              <w:top w:w="80" w:type="dxa"/>
              <w:left w:w="110" w:type="dxa"/>
              <w:bottom w:w="80" w:type="dxa"/>
              <w:right w:w="110" w:type="dxa"/>
            </w:tcMar>
            <w:vAlign w:val="center"/>
          </w:tcPr>
          <w:p w:rsidR="001E3785" w:rsidRDefault="00E75D8F">
            <w:pPr>
              <w:spacing w:line="250" w:lineRule="auto"/>
            </w:pPr>
            <w:r>
              <w:rPr>
                <w:color w:val="1E1E1E"/>
                <w:sz w:val="19"/>
                <w:szCs w:val="19"/>
              </w:rPr>
              <w:t>Voice generation request completed; training session finalized</w:t>
            </w:r>
          </w:p>
        </w:tc>
      </w:tr>
      <w:tr w:rsidR="001E3785">
        <w:tblPrEx>
          <w:tblCellMar>
            <w:top w:w="0" w:type="dxa"/>
            <w:bottom w:w="0" w:type="dxa"/>
          </w:tblCellMar>
        </w:tblPrEx>
        <w:tc>
          <w:tcPr>
            <w:tcW w:w="18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DEBUG</w:t>
            </w:r>
          </w:p>
        </w:tc>
        <w:tc>
          <w:tcPr>
            <w:tcW w:w="35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Fine-grained detail useful only during active troubleshooting</w:t>
            </w:r>
          </w:p>
        </w:tc>
        <w:tc>
          <w:tcPr>
            <w:tcW w:w="40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Individual subprocess argument construction; per-chunk segmentation boundaries</w:t>
            </w:r>
          </w:p>
        </w:tc>
      </w:tr>
    </w:tbl>
    <w:p w:rsidR="001E3785" w:rsidRDefault="00E75D8F">
      <w:pPr>
        <w:spacing w:after="160" w:line="276" w:lineRule="auto"/>
      </w:pPr>
      <w:r>
        <w:rPr>
          <w:color w:val="222222"/>
        </w:rPr>
        <w:t>Design principles: every logged event carries enough context to trace it back to the originating request (a request-correlation identifier, conceptually) without this document specifying its concrete format; logging is designed to be additive to, not a rep</w:t>
      </w:r>
      <w:r>
        <w:rPr>
          <w:color w:val="222222"/>
        </w:rPr>
        <w:t xml:space="preserve">lacement for, the existing user-facing error-string pattern, which continues to serve the immediate end-user feedback role while structured logs serve the operational/troubleshooting role. Section 23's optional logs/ folder is the proposed destination for </w:t>
      </w:r>
      <w:r>
        <w:rPr>
          <w:color w:val="222222"/>
        </w:rPr>
        <w:t>this component's output.</w:t>
      </w:r>
    </w:p>
    <w:p w:rsidR="001E3785" w:rsidRDefault="00E75D8F">
      <w:r>
        <w:br w:type="page"/>
      </w:r>
    </w:p>
    <w:p w:rsidR="001E3785" w:rsidRDefault="00E75D8F">
      <w:pPr>
        <w:pStyle w:val="Heading1"/>
        <w:pBdr>
          <w:bottom w:val="single" w:sz="8" w:space="4" w:color="2E6E8E"/>
        </w:pBdr>
        <w:spacing w:before="420" w:after="200"/>
      </w:pPr>
      <w:r>
        <w:rPr>
          <w:b/>
          <w:bCs/>
          <w:color w:val="1B2A4A"/>
          <w:sz w:val="30"/>
          <w:szCs w:val="30"/>
        </w:rPr>
        <w:lastRenderedPageBreak/>
        <w:t>17. Monitoring Architecture</w:t>
      </w:r>
    </w:p>
    <w:p w:rsidR="001E3785" w:rsidRDefault="00E75D8F">
      <w:pPr>
        <w:pStyle w:val="Heading2"/>
        <w:spacing w:before="320" w:after="140"/>
      </w:pPr>
      <w:r>
        <w:rPr>
          <w:b/>
          <w:bCs/>
          <w:color w:val="2E6E8E"/>
          <w:sz w:val="25"/>
          <w:szCs w:val="25"/>
        </w:rPr>
        <w:t>17.1 Current State</w:t>
      </w:r>
    </w:p>
    <w:p w:rsidR="001E3785" w:rsidRDefault="00E75D8F">
      <w:pPr>
        <w:spacing w:after="160" w:line="276" w:lineRule="auto"/>
      </w:pPr>
      <w:r>
        <w:rPr>
          <w:color w:val="222222"/>
        </w:rPr>
        <w:t>No monitoring exists in the current implementation. There is no mechanism today for detecting, ahead of a user's own click, that a required engine executable is missing, that the RVC</w:t>
      </w:r>
      <w:r>
        <w:rPr>
          <w:color w:val="222222"/>
        </w:rPr>
        <w:t>-isolated runtime is unavailable, or that GPU resources are exhausted — conditions the Stage 1 Analysis identified as currently surfacing only as a per-click failure deep inside a specific tab.</w:t>
      </w:r>
    </w:p>
    <w:p w:rsidR="001E3785" w:rsidRDefault="00E75D8F">
      <w:pPr>
        <w:pStyle w:val="Heading2"/>
        <w:spacing w:before="320" w:after="140"/>
      </w:pPr>
      <w:r>
        <w:rPr>
          <w:b/>
          <w:bCs/>
          <w:color w:val="2E6E8E"/>
          <w:sz w:val="25"/>
          <w:szCs w:val="25"/>
        </w:rPr>
        <w:t>17.2 Designed Target</w:t>
      </w:r>
    </w:p>
    <w:p w:rsidR="001E3785" w:rsidRDefault="00E75D8F">
      <w:pPr>
        <w:spacing w:after="160" w:line="276" w:lineRule="auto"/>
      </w:pPr>
      <w:r>
        <w:rPr>
          <w:color w:val="222222"/>
        </w:rPr>
        <w:t>Monitoring is designed around three obser</w:t>
      </w:r>
      <w:r>
        <w:rPr>
          <w:color w:val="222222"/>
        </w:rPr>
        <w:t>vation categories, each mapped to a concrete gap identified in the Stage 1 Analysis:</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2400"/>
        <w:gridCol w:w="3600"/>
        <w:gridCol w:w="3360"/>
      </w:tblGrid>
      <w:tr w:rsidR="001E3785">
        <w:tblPrEx>
          <w:tblCellMar>
            <w:top w:w="0" w:type="dxa"/>
            <w:bottom w:w="0" w:type="dxa"/>
          </w:tblCellMar>
        </w:tblPrEx>
        <w:trPr>
          <w:tblHeader/>
        </w:trPr>
        <w:tc>
          <w:tcPr>
            <w:tcW w:w="24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Category</w:t>
            </w:r>
          </w:p>
        </w:tc>
        <w:tc>
          <w:tcPr>
            <w:tcW w:w="36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Observes</w:t>
            </w:r>
          </w:p>
        </w:tc>
        <w:tc>
          <w:tcPr>
            <w:tcW w:w="336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Addresses</w:t>
            </w:r>
          </w:p>
        </w:tc>
      </w:tr>
      <w:tr w:rsidR="001E3785">
        <w:tblPrEx>
          <w:tblCellMar>
            <w:top w:w="0" w:type="dxa"/>
            <w:bottom w:w="0" w:type="dxa"/>
          </w:tblCellMar>
        </w:tblPrEx>
        <w:tc>
          <w:tcPr>
            <w:tcW w:w="2400" w:type="dxa"/>
            <w:tcMar>
              <w:top w:w="80" w:type="dxa"/>
              <w:left w:w="110" w:type="dxa"/>
              <w:bottom w:w="80" w:type="dxa"/>
              <w:right w:w="110" w:type="dxa"/>
            </w:tcMar>
            <w:vAlign w:val="center"/>
          </w:tcPr>
          <w:p w:rsidR="001E3785" w:rsidRDefault="00E75D8F">
            <w:pPr>
              <w:spacing w:line="250" w:lineRule="auto"/>
            </w:pPr>
            <w:r>
              <w:rPr>
                <w:color w:val="1E1E1E"/>
                <w:sz w:val="19"/>
                <w:szCs w:val="19"/>
              </w:rPr>
              <w:t>Dependency Health</w:t>
            </w:r>
          </w:p>
        </w:tc>
        <w:tc>
          <w:tcPr>
            <w:tcW w:w="3600" w:type="dxa"/>
            <w:tcMar>
              <w:top w:w="80" w:type="dxa"/>
              <w:left w:w="110" w:type="dxa"/>
              <w:bottom w:w="80" w:type="dxa"/>
              <w:right w:w="110" w:type="dxa"/>
            </w:tcMar>
            <w:vAlign w:val="center"/>
          </w:tcPr>
          <w:p w:rsidR="001E3785" w:rsidRDefault="00E75D8F">
            <w:pPr>
              <w:spacing w:line="250" w:lineRule="auto"/>
            </w:pPr>
            <w:r>
              <w:rPr>
                <w:color w:val="1E1E1E"/>
                <w:sz w:val="19"/>
                <w:szCs w:val="19"/>
              </w:rPr>
              <w:t xml:space="preserve">Presence and basic health of required engine executables, both runtimes, and required model </w:t>
            </w:r>
            <w:proofErr w:type="spellStart"/>
            <w:r>
              <w:rPr>
                <w:color w:val="1E1E1E"/>
                <w:sz w:val="19"/>
                <w:szCs w:val="19"/>
              </w:rPr>
              <w:t>artifacts</w:t>
            </w:r>
            <w:proofErr w:type="spellEnd"/>
            <w:r>
              <w:rPr>
                <w:color w:val="1E1E1E"/>
                <w:sz w:val="19"/>
                <w:szCs w:val="19"/>
              </w:rPr>
              <w:t xml:space="preserve">, checked at </w:t>
            </w:r>
            <w:proofErr w:type="spellStart"/>
            <w:r>
              <w:rPr>
                <w:color w:val="1E1E1E"/>
                <w:sz w:val="19"/>
                <w:szCs w:val="19"/>
              </w:rPr>
              <w:t>startup</w:t>
            </w:r>
            <w:proofErr w:type="spellEnd"/>
            <w:r>
              <w:rPr>
                <w:color w:val="1E1E1E"/>
                <w:sz w:val="19"/>
                <w:szCs w:val="19"/>
              </w:rPr>
              <w:t xml:space="preserve"> and periodically thereafter</w:t>
            </w:r>
          </w:p>
        </w:tc>
        <w:tc>
          <w:tcPr>
            <w:tcW w:w="3360" w:type="dxa"/>
            <w:tcMar>
              <w:top w:w="80" w:type="dxa"/>
              <w:left w:w="110" w:type="dxa"/>
              <w:bottom w:w="80" w:type="dxa"/>
              <w:right w:w="110" w:type="dxa"/>
            </w:tcMar>
            <w:vAlign w:val="center"/>
          </w:tcPr>
          <w:p w:rsidR="001E3785" w:rsidRDefault="00E75D8F">
            <w:pPr>
              <w:spacing w:line="250" w:lineRule="auto"/>
            </w:pPr>
            <w:r>
              <w:rPr>
                <w:color w:val="1E1E1E"/>
                <w:sz w:val="19"/>
                <w:szCs w:val="19"/>
              </w:rPr>
              <w:t>Replaces today's pattern of discovering a missing dependency only via a failed user action</w:t>
            </w:r>
          </w:p>
        </w:tc>
      </w:tr>
      <w:tr w:rsidR="001E3785">
        <w:tblPrEx>
          <w:tblCellMar>
            <w:top w:w="0" w:type="dxa"/>
            <w:bottom w:w="0" w:type="dxa"/>
          </w:tblCellMar>
        </w:tblPrEx>
        <w:tc>
          <w:tcPr>
            <w:tcW w:w="24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Resource Utilization</w:t>
            </w:r>
          </w:p>
        </w:tc>
        <w:tc>
          <w:tcPr>
            <w:tcW w:w="3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GPU/VRAM utilization, disk space across the four stores, and processing queue depth</w:t>
            </w:r>
          </w:p>
        </w:tc>
        <w:tc>
          <w:tcPr>
            <w:tcW w:w="33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Supports the scalability strategy in §20 by giving it something concrete to scale against</w:t>
            </w:r>
          </w:p>
        </w:tc>
      </w:tr>
      <w:tr w:rsidR="001E3785">
        <w:tblPrEx>
          <w:tblCellMar>
            <w:top w:w="0" w:type="dxa"/>
            <w:bottom w:w="0" w:type="dxa"/>
          </w:tblCellMar>
        </w:tblPrEx>
        <w:tc>
          <w:tcPr>
            <w:tcW w:w="2400" w:type="dxa"/>
            <w:tcMar>
              <w:top w:w="80" w:type="dxa"/>
              <w:left w:w="110" w:type="dxa"/>
              <w:bottom w:w="80" w:type="dxa"/>
              <w:right w:w="110" w:type="dxa"/>
            </w:tcMar>
            <w:vAlign w:val="center"/>
          </w:tcPr>
          <w:p w:rsidR="001E3785" w:rsidRDefault="00E75D8F">
            <w:pPr>
              <w:spacing w:line="250" w:lineRule="auto"/>
            </w:pPr>
            <w:r>
              <w:rPr>
                <w:color w:val="1E1E1E"/>
                <w:sz w:val="19"/>
                <w:szCs w:val="19"/>
              </w:rPr>
              <w:t>Operational Metrics</w:t>
            </w:r>
          </w:p>
        </w:tc>
        <w:tc>
          <w:tcPr>
            <w:tcW w:w="3600" w:type="dxa"/>
            <w:tcMar>
              <w:top w:w="80" w:type="dxa"/>
              <w:left w:w="110" w:type="dxa"/>
              <w:bottom w:w="80" w:type="dxa"/>
              <w:right w:w="110" w:type="dxa"/>
            </w:tcMar>
            <w:vAlign w:val="center"/>
          </w:tcPr>
          <w:p w:rsidR="001E3785" w:rsidRDefault="00E75D8F">
            <w:pPr>
              <w:spacing w:line="250" w:lineRule="auto"/>
            </w:pPr>
            <w:r>
              <w:rPr>
                <w:color w:val="1E1E1E"/>
                <w:sz w:val="19"/>
                <w:szCs w:val="19"/>
              </w:rPr>
              <w:t>Request volume, success/failure rate per component, and latency per AI Processing engine</w:t>
            </w:r>
          </w:p>
        </w:tc>
        <w:tc>
          <w:tcPr>
            <w:tcW w:w="3360" w:type="dxa"/>
            <w:tcMar>
              <w:top w:w="80" w:type="dxa"/>
              <w:left w:w="110" w:type="dxa"/>
              <w:bottom w:w="80" w:type="dxa"/>
              <w:right w:w="110" w:type="dxa"/>
            </w:tcMar>
            <w:vAlign w:val="center"/>
          </w:tcPr>
          <w:p w:rsidR="001E3785" w:rsidRDefault="00E75D8F">
            <w:pPr>
              <w:spacing w:line="250" w:lineRule="auto"/>
            </w:pPr>
            <w:r>
              <w:rPr>
                <w:color w:val="1E1E1E"/>
                <w:sz w:val="19"/>
                <w:szCs w:val="19"/>
              </w:rPr>
              <w:t xml:space="preserve">Gives </w:t>
            </w:r>
            <w:proofErr w:type="spellStart"/>
            <w:r>
              <w:rPr>
                <w:color w:val="1E1E1E"/>
                <w:sz w:val="19"/>
                <w:szCs w:val="19"/>
              </w:rPr>
              <w:t>Zenvyrolabs</w:t>
            </w:r>
            <w:proofErr w:type="spellEnd"/>
            <w:r>
              <w:rPr>
                <w:color w:val="1E1E1E"/>
                <w:sz w:val="19"/>
                <w:szCs w:val="19"/>
              </w:rPr>
              <w:t xml:space="preserve"> visibility into client-facing reliability without requiring a client to report it manually</w:t>
            </w:r>
          </w:p>
        </w:tc>
      </w:tr>
    </w:tbl>
    <w:p w:rsidR="001E3785" w:rsidRDefault="00E75D8F">
      <w:pPr>
        <w:spacing w:after="160" w:line="276" w:lineRule="auto"/>
      </w:pPr>
      <w:r>
        <w:rPr>
          <w:color w:val="222222"/>
        </w:rPr>
        <w:t xml:space="preserve">Design principle: Monitoring consumes Logging's output rather than duplicating instrumentation — every monitored signal is designed to be derivable from structured log events (§16), so the two components share one source of truth about system </w:t>
      </w:r>
      <w:proofErr w:type="spellStart"/>
      <w:r>
        <w:rPr>
          <w:color w:val="222222"/>
        </w:rPr>
        <w:t>behavior</w:t>
      </w:r>
      <w:proofErr w:type="spellEnd"/>
      <w:r>
        <w:rPr>
          <w:color w:val="222222"/>
        </w:rPr>
        <w:t>. Sec</w:t>
      </w:r>
      <w:r>
        <w:rPr>
          <w:color w:val="222222"/>
        </w:rPr>
        <w:t>tion 23's optional monitoring/ folder is the proposed home for this component's configuration and any locally-persisted metrics history.</w:t>
      </w:r>
    </w:p>
    <w:p w:rsidR="001E3785" w:rsidRDefault="00E75D8F">
      <w:r>
        <w:br w:type="page"/>
      </w:r>
    </w:p>
    <w:p w:rsidR="001E3785" w:rsidRDefault="00E75D8F">
      <w:pPr>
        <w:pStyle w:val="Heading1"/>
        <w:pBdr>
          <w:bottom w:val="single" w:sz="8" w:space="4" w:color="2E6E8E"/>
        </w:pBdr>
        <w:spacing w:before="420" w:after="200"/>
      </w:pPr>
      <w:r>
        <w:rPr>
          <w:b/>
          <w:bCs/>
          <w:color w:val="1B2A4A"/>
          <w:sz w:val="30"/>
          <w:szCs w:val="30"/>
        </w:rPr>
        <w:lastRenderedPageBreak/>
        <w:t>18. Security Design</w:t>
      </w:r>
    </w:p>
    <w:p w:rsidR="001E3785" w:rsidRDefault="00E75D8F">
      <w:pPr>
        <w:spacing w:after="160" w:line="276" w:lineRule="auto"/>
      </w:pPr>
      <w:r>
        <w:rPr>
          <w:color w:val="222222"/>
        </w:rPr>
        <w:t xml:space="preserve">Security design here builds directly on the security posture already established and verified in </w:t>
      </w:r>
      <w:r>
        <w:rPr>
          <w:color w:val="222222"/>
        </w:rPr>
        <w:t>the Stage 1 Analysis: what is already sound is retained and formalized as a design principle; what was found lacking is given an explicit architectural home rather than left as an implicit gap.</w:t>
      </w:r>
    </w:p>
    <w:p w:rsidR="001E3785" w:rsidRDefault="00E75D8F">
      <w:pPr>
        <w:pStyle w:val="Heading2"/>
        <w:spacing w:before="320" w:after="140"/>
      </w:pPr>
      <w:r>
        <w:rPr>
          <w:b/>
          <w:bCs/>
          <w:color w:val="2E6E8E"/>
          <w:sz w:val="25"/>
          <w:szCs w:val="25"/>
        </w:rPr>
        <w:t>18.1 Principles Carried Forward as Design Decisions</w:t>
      </w:r>
    </w:p>
    <w:p w:rsidR="001E3785" w:rsidRDefault="00E75D8F">
      <w:pPr>
        <w:pStyle w:val="ListParagraph"/>
        <w:numPr>
          <w:ilvl w:val="0"/>
          <w:numId w:val="2"/>
        </w:numPr>
        <w:spacing w:after="90" w:line="268" w:lineRule="auto"/>
      </w:pPr>
      <w:r>
        <w:rPr>
          <w:b/>
          <w:bCs/>
        </w:rPr>
        <w:t>Process-bo</w:t>
      </w:r>
      <w:r>
        <w:rPr>
          <w:b/>
          <w:bCs/>
        </w:rPr>
        <w:t xml:space="preserve">undary isolation. </w:t>
      </w:r>
      <w:r>
        <w:t>Every AI Processing engine is invoked as an isolated external process rather than in-process code, and every such invocation passes arguments as discrete, non-shell-interpreted values. This is retained as a binding design rule for any new</w:t>
      </w:r>
      <w:r>
        <w:t xml:space="preserve"> AI Processing engine this system integrates in the future, not only the engines that exist today.</w:t>
      </w:r>
    </w:p>
    <w:p w:rsidR="001E3785" w:rsidRDefault="00E75D8F">
      <w:pPr>
        <w:pStyle w:val="ListParagraph"/>
        <w:numPr>
          <w:ilvl w:val="0"/>
          <w:numId w:val="2"/>
        </w:numPr>
        <w:spacing w:after="90" w:line="268" w:lineRule="auto"/>
      </w:pPr>
      <w:r>
        <w:rPr>
          <w:b/>
          <w:bCs/>
        </w:rPr>
        <w:t xml:space="preserve">No dynamic code evaluation. </w:t>
      </w:r>
      <w:r>
        <w:t>The Application, Domain, and Infrastructure layers do not evaluate user-supplied content as code or deserialize it through mechan</w:t>
      </w:r>
      <w:r>
        <w:t>isms that implicitly execute code. This is retained as a binding constraint on all future component implementations.</w:t>
      </w:r>
    </w:p>
    <w:p w:rsidR="001E3785" w:rsidRDefault="00E75D8F">
      <w:pPr>
        <w:pStyle w:val="Heading2"/>
        <w:spacing w:before="320" w:after="140"/>
      </w:pPr>
      <w:r>
        <w:rPr>
          <w:b/>
          <w:bCs/>
          <w:color w:val="2E6E8E"/>
          <w:sz w:val="25"/>
          <w:szCs w:val="25"/>
        </w:rPr>
        <w:t>18.2 Designed Mitigations for Identified Gaps</w:t>
      </w:r>
    </w:p>
    <w:p w:rsidR="001E3785" w:rsidRDefault="00E75D8F">
      <w:pPr>
        <w:spacing w:after="160" w:line="276" w:lineRule="auto"/>
      </w:pPr>
      <w:r>
        <w:rPr>
          <w:color w:val="222222"/>
        </w:rPr>
        <w:t xml:space="preserve">The Stage 1 Analysis identified a path-handling weakness in how a user-supplied name becomes </w:t>
      </w:r>
      <w:r>
        <w:rPr>
          <w:color w:val="222222"/>
        </w:rPr>
        <w:t>part of a storage location, and a localhost-only access posture that is adequate today but not future-proof. This design addresses both at the architecture level:</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2500"/>
        <w:gridCol w:w="3800"/>
        <w:gridCol w:w="3060"/>
      </w:tblGrid>
      <w:tr w:rsidR="001E3785">
        <w:tblPrEx>
          <w:tblCellMar>
            <w:top w:w="0" w:type="dxa"/>
            <w:bottom w:w="0" w:type="dxa"/>
          </w:tblCellMar>
        </w:tblPrEx>
        <w:trPr>
          <w:tblHeader/>
        </w:trPr>
        <w:tc>
          <w:tcPr>
            <w:tcW w:w="25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Design Element</w:t>
            </w:r>
          </w:p>
        </w:tc>
        <w:tc>
          <w:tcPr>
            <w:tcW w:w="38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Responsibility</w:t>
            </w:r>
          </w:p>
        </w:tc>
        <w:tc>
          <w:tcPr>
            <w:tcW w:w="306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Addresses</w:t>
            </w:r>
          </w:p>
        </w:tc>
      </w:tr>
      <w:tr w:rsidR="001E3785">
        <w:tblPrEx>
          <w:tblCellMar>
            <w:top w:w="0" w:type="dxa"/>
            <w:bottom w:w="0" w:type="dxa"/>
          </w:tblCellMar>
        </w:tblPrEx>
        <w:tc>
          <w:tcPr>
            <w:tcW w:w="2500" w:type="dxa"/>
            <w:tcMar>
              <w:top w:w="80" w:type="dxa"/>
              <w:left w:w="110" w:type="dxa"/>
              <w:bottom w:w="80" w:type="dxa"/>
              <w:right w:w="110" w:type="dxa"/>
            </w:tcMar>
            <w:vAlign w:val="center"/>
          </w:tcPr>
          <w:p w:rsidR="001E3785" w:rsidRDefault="00E75D8F">
            <w:pPr>
              <w:spacing w:line="250" w:lineRule="auto"/>
            </w:pPr>
            <w:r>
              <w:rPr>
                <w:color w:val="1E1E1E"/>
                <w:sz w:val="19"/>
                <w:szCs w:val="19"/>
              </w:rPr>
              <w:t>Input Validation Boundary</w:t>
            </w:r>
          </w:p>
        </w:tc>
        <w:tc>
          <w:tcPr>
            <w:tcW w:w="3800" w:type="dxa"/>
            <w:tcMar>
              <w:top w:w="80" w:type="dxa"/>
              <w:left w:w="110" w:type="dxa"/>
              <w:bottom w:w="80" w:type="dxa"/>
              <w:right w:w="110" w:type="dxa"/>
            </w:tcMar>
            <w:vAlign w:val="center"/>
          </w:tcPr>
          <w:p w:rsidR="001E3785" w:rsidRDefault="00E75D8F">
            <w:pPr>
              <w:spacing w:line="250" w:lineRule="auto"/>
            </w:pPr>
            <w:r>
              <w:rPr>
                <w:color w:val="1E1E1E"/>
                <w:sz w:val="19"/>
                <w:szCs w:val="19"/>
              </w:rPr>
              <w:t>A defined checkpoint within the Application Layer through which every user-supplied identifier (voice names, session names, and similar) must pass before it is allowed to influence a Storage Layer location</w:t>
            </w:r>
          </w:p>
        </w:tc>
        <w:tc>
          <w:tcPr>
            <w:tcW w:w="3060" w:type="dxa"/>
            <w:tcMar>
              <w:top w:w="80" w:type="dxa"/>
              <w:left w:w="110" w:type="dxa"/>
              <w:bottom w:w="80" w:type="dxa"/>
              <w:right w:w="110" w:type="dxa"/>
            </w:tcMar>
            <w:vAlign w:val="center"/>
          </w:tcPr>
          <w:p w:rsidR="001E3785" w:rsidRDefault="00E75D8F">
            <w:pPr>
              <w:spacing w:line="250" w:lineRule="auto"/>
            </w:pPr>
            <w:r>
              <w:rPr>
                <w:color w:val="1E1E1E"/>
                <w:sz w:val="19"/>
                <w:szCs w:val="19"/>
              </w:rPr>
              <w:t>Path-traversal-shaped input reaching Storage unfil</w:t>
            </w:r>
            <w:r>
              <w:rPr>
                <w:color w:val="1E1E1E"/>
                <w:sz w:val="19"/>
                <w:szCs w:val="19"/>
              </w:rPr>
              <w:t>tered</w:t>
            </w:r>
          </w:p>
        </w:tc>
      </w:tr>
      <w:tr w:rsidR="001E3785">
        <w:tblPrEx>
          <w:tblCellMar>
            <w:top w:w="0" w:type="dxa"/>
            <w:bottom w:w="0" w:type="dxa"/>
          </w:tblCellMar>
        </w:tblPrEx>
        <w:tc>
          <w:tcPr>
            <w:tcW w:w="25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Storage Trust Boundary</w:t>
            </w:r>
          </w:p>
        </w:tc>
        <w:tc>
          <w:tcPr>
            <w:tcW w:w="38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An explicit design rule that the Storage Layer only ever resolves locations from validated Domain-Layer identifiers, never from raw user input directly</w:t>
            </w:r>
          </w:p>
        </w:tc>
        <w:tc>
          <w:tcPr>
            <w:tcW w:w="30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Reinforces the Input Validation Boundary structurally, not just procedurally</w:t>
            </w:r>
          </w:p>
        </w:tc>
      </w:tr>
      <w:tr w:rsidR="001E3785">
        <w:tblPrEx>
          <w:tblCellMar>
            <w:top w:w="0" w:type="dxa"/>
            <w:bottom w:w="0" w:type="dxa"/>
          </w:tblCellMar>
        </w:tblPrEx>
        <w:tc>
          <w:tcPr>
            <w:tcW w:w="2500" w:type="dxa"/>
            <w:tcMar>
              <w:top w:w="80" w:type="dxa"/>
              <w:left w:w="110" w:type="dxa"/>
              <w:bottom w:w="80" w:type="dxa"/>
              <w:right w:w="110" w:type="dxa"/>
            </w:tcMar>
            <w:vAlign w:val="center"/>
          </w:tcPr>
          <w:p w:rsidR="001E3785" w:rsidRDefault="00E75D8F">
            <w:pPr>
              <w:spacing w:line="250" w:lineRule="auto"/>
            </w:pPr>
            <w:r>
              <w:rPr>
                <w:color w:val="1E1E1E"/>
                <w:sz w:val="19"/>
                <w:szCs w:val="19"/>
              </w:rPr>
              <w:t>Access Control Boundary</w:t>
            </w:r>
          </w:p>
        </w:tc>
        <w:tc>
          <w:tcPr>
            <w:tcW w:w="3800" w:type="dxa"/>
            <w:tcMar>
              <w:top w:w="80" w:type="dxa"/>
              <w:left w:w="110" w:type="dxa"/>
              <w:bottom w:w="80" w:type="dxa"/>
              <w:right w:w="110" w:type="dxa"/>
            </w:tcMar>
            <w:vAlign w:val="center"/>
          </w:tcPr>
          <w:p w:rsidR="001E3785" w:rsidRDefault="00E75D8F">
            <w:pPr>
              <w:spacing w:line="250" w:lineRule="auto"/>
            </w:pPr>
            <w:r>
              <w:rPr>
                <w:color w:val="1E1E1E"/>
                <w:sz w:val="19"/>
                <w:szCs w:val="19"/>
              </w:rPr>
              <w:t>A deployment-level authentication/authorization checkpoint, positioned ahead of the Presentation Layer, activated whenever the system is deployed beyond a single local user</w:t>
            </w:r>
          </w:p>
        </w:tc>
        <w:tc>
          <w:tcPr>
            <w:tcW w:w="3060" w:type="dxa"/>
            <w:tcMar>
              <w:top w:w="80" w:type="dxa"/>
              <w:left w:w="110" w:type="dxa"/>
              <w:bottom w:w="80" w:type="dxa"/>
              <w:right w:w="110" w:type="dxa"/>
            </w:tcMar>
            <w:vAlign w:val="center"/>
          </w:tcPr>
          <w:p w:rsidR="001E3785" w:rsidRDefault="00E75D8F">
            <w:pPr>
              <w:spacing w:line="250" w:lineRule="auto"/>
            </w:pPr>
            <w:r>
              <w:rPr>
                <w:color w:val="1E1E1E"/>
                <w:sz w:val="19"/>
                <w:szCs w:val="19"/>
              </w:rPr>
              <w:t>The current no-authentication posture becoming unsafe once network-reachable, per §</w:t>
            </w:r>
            <w:r>
              <w:rPr>
                <w:color w:val="1E1E1E"/>
                <w:sz w:val="19"/>
                <w:szCs w:val="19"/>
              </w:rPr>
              <w:t>13.3</w:t>
            </w:r>
          </w:p>
        </w:tc>
      </w:tr>
      <w:tr w:rsidR="001E3785">
        <w:tblPrEx>
          <w:tblCellMar>
            <w:top w:w="0" w:type="dxa"/>
            <w:bottom w:w="0" w:type="dxa"/>
          </w:tblCellMar>
        </w:tblPrEx>
        <w:tc>
          <w:tcPr>
            <w:tcW w:w="25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Model Trust Boundary</w:t>
            </w:r>
          </w:p>
        </w:tc>
        <w:tc>
          <w:tcPr>
            <w:tcW w:w="38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 xml:space="preserve">An explicit design rule that Model Management only registers </w:t>
            </w:r>
            <w:proofErr w:type="spellStart"/>
            <w:r>
              <w:rPr>
                <w:color w:val="1E1E1E"/>
                <w:sz w:val="19"/>
                <w:szCs w:val="19"/>
              </w:rPr>
              <w:t>artifacts</w:t>
            </w:r>
            <w:proofErr w:type="spellEnd"/>
            <w:r>
              <w:rPr>
                <w:color w:val="1E1E1E"/>
                <w:sz w:val="19"/>
                <w:szCs w:val="19"/>
              </w:rPr>
              <w:t xml:space="preserve"> from a defined, vetted source unless a deployment deliberately opts into accepting externally-supplied models</w:t>
            </w:r>
          </w:p>
        </w:tc>
        <w:tc>
          <w:tcPr>
            <w:tcW w:w="30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Untrusted model-file provenance once third-party model uploads are ever permitted</w:t>
            </w:r>
          </w:p>
        </w:tc>
      </w:tr>
    </w:tbl>
    <w:p w:rsidR="001E3785" w:rsidRDefault="00E75D8F">
      <w:pPr>
        <w:pStyle w:val="Heading2"/>
        <w:spacing w:before="320" w:after="140"/>
      </w:pPr>
      <w:r>
        <w:rPr>
          <w:b/>
          <w:bCs/>
          <w:color w:val="2E6E8E"/>
          <w:sz w:val="25"/>
          <w:szCs w:val="25"/>
        </w:rPr>
        <w:t>18.3 Security Design Principle Summary</w:t>
      </w:r>
    </w:p>
    <w:p w:rsidR="001E3785" w:rsidRDefault="00E75D8F">
      <w:pPr>
        <w:spacing w:after="160" w:line="276" w:lineRule="auto"/>
      </w:pPr>
      <w:r>
        <w:rPr>
          <w:color w:val="222222"/>
        </w:rPr>
        <w:t xml:space="preserve">Security in this design is layered rather than centralized in one component: </w:t>
      </w:r>
      <w:proofErr w:type="gramStart"/>
      <w:r>
        <w:rPr>
          <w:color w:val="222222"/>
        </w:rPr>
        <w:t>the</w:t>
      </w:r>
      <w:proofErr w:type="gramEnd"/>
      <w:r>
        <w:rPr>
          <w:color w:val="222222"/>
        </w:rPr>
        <w:t xml:space="preserve"> Input Validation Boundary and Storage Trust Boundary together prevent a class of defect at two independent points, so that a lapse in one does not by itself create an exploita</w:t>
      </w:r>
      <w:r>
        <w:rPr>
          <w:color w:val="222222"/>
        </w:rPr>
        <w:t xml:space="preserve">ble condition. </w:t>
      </w:r>
      <w:proofErr w:type="gramStart"/>
      <w:r>
        <w:rPr>
          <w:color w:val="222222"/>
        </w:rPr>
        <w:t>This mirrors</w:t>
      </w:r>
      <w:proofErr w:type="gramEnd"/>
      <w:r>
        <w:rPr>
          <w:color w:val="222222"/>
        </w:rPr>
        <w:t xml:space="preserve">, at the design level, the same </w:t>
      </w:r>
      <w:proofErr w:type="spellStart"/>
      <w:r>
        <w:rPr>
          <w:color w:val="222222"/>
        </w:rPr>
        <w:t>defense</w:t>
      </w:r>
      <w:proofErr w:type="spellEnd"/>
      <w:r>
        <w:rPr>
          <w:color w:val="222222"/>
        </w:rPr>
        <w:t>-in-</w:t>
      </w:r>
      <w:r>
        <w:rPr>
          <w:color w:val="222222"/>
        </w:rPr>
        <w:lastRenderedPageBreak/>
        <w:t>depth reasoning already implicit in the existing process-boundary isolation the Stage 1 Analysis found to be sound.</w:t>
      </w:r>
    </w:p>
    <w:p w:rsidR="001E3785" w:rsidRDefault="00E75D8F">
      <w:r>
        <w:br w:type="page"/>
      </w:r>
    </w:p>
    <w:p w:rsidR="001E3785" w:rsidRDefault="00E75D8F">
      <w:pPr>
        <w:pStyle w:val="Heading1"/>
        <w:pBdr>
          <w:bottom w:val="single" w:sz="8" w:space="4" w:color="2E6E8E"/>
        </w:pBdr>
        <w:spacing w:before="420" w:after="200"/>
      </w:pPr>
      <w:r>
        <w:rPr>
          <w:b/>
          <w:bCs/>
          <w:color w:val="1B2A4A"/>
          <w:sz w:val="30"/>
          <w:szCs w:val="30"/>
        </w:rPr>
        <w:lastRenderedPageBreak/>
        <w:t>19. Error Handling Strategy</w:t>
      </w:r>
    </w:p>
    <w:p w:rsidR="001E3785" w:rsidRDefault="00E75D8F">
      <w:pPr>
        <w:spacing w:after="160" w:line="276" w:lineRule="auto"/>
      </w:pPr>
      <w:r>
        <w:rPr>
          <w:color w:val="222222"/>
        </w:rPr>
        <w:t>The existing implementation already appl</w:t>
      </w:r>
      <w:r>
        <w:rPr>
          <w:color w:val="222222"/>
        </w:rPr>
        <w:t>ies a consistent, function-level error-handling pattern: operations that can fail are wrapped so that a failure becomes a readable message shown to the user rather than an unhandled fault. This design generalizes that pattern into a layered strategy, rathe</w:t>
      </w:r>
      <w:r>
        <w:rPr>
          <w:color w:val="222222"/>
        </w:rPr>
        <w:t>r than replacing it.</w:t>
      </w:r>
    </w:p>
    <w:p w:rsidR="001E3785" w:rsidRDefault="00E75D8F">
      <w:pPr>
        <w:pStyle w:val="Heading2"/>
        <w:spacing w:before="320" w:after="140"/>
      </w:pPr>
      <w:r>
        <w:rPr>
          <w:b/>
          <w:bCs/>
          <w:color w:val="2E6E8E"/>
          <w:sz w:val="25"/>
          <w:szCs w:val="25"/>
        </w:rPr>
        <w:t>19.1 Error Taxonomy</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2400"/>
        <w:gridCol w:w="2860"/>
        <w:gridCol w:w="4100"/>
      </w:tblGrid>
      <w:tr w:rsidR="001E3785">
        <w:tblPrEx>
          <w:tblCellMar>
            <w:top w:w="0" w:type="dxa"/>
            <w:bottom w:w="0" w:type="dxa"/>
          </w:tblCellMar>
        </w:tblPrEx>
        <w:trPr>
          <w:tblHeader/>
        </w:trPr>
        <w:tc>
          <w:tcPr>
            <w:tcW w:w="24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Error Category</w:t>
            </w:r>
          </w:p>
        </w:tc>
        <w:tc>
          <w:tcPr>
            <w:tcW w:w="286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Originates In</w:t>
            </w:r>
          </w:p>
        </w:tc>
        <w:tc>
          <w:tcPr>
            <w:tcW w:w="41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Handling Responsibility</w:t>
            </w:r>
          </w:p>
        </w:tc>
      </w:tr>
      <w:tr w:rsidR="001E3785">
        <w:tblPrEx>
          <w:tblCellMar>
            <w:top w:w="0" w:type="dxa"/>
            <w:bottom w:w="0" w:type="dxa"/>
          </w:tblCellMar>
        </w:tblPrEx>
        <w:tc>
          <w:tcPr>
            <w:tcW w:w="2400" w:type="dxa"/>
            <w:tcMar>
              <w:top w:w="80" w:type="dxa"/>
              <w:left w:w="110" w:type="dxa"/>
              <w:bottom w:w="80" w:type="dxa"/>
              <w:right w:w="110" w:type="dxa"/>
            </w:tcMar>
            <w:vAlign w:val="center"/>
          </w:tcPr>
          <w:p w:rsidR="001E3785" w:rsidRDefault="00E75D8F">
            <w:pPr>
              <w:spacing w:line="250" w:lineRule="auto"/>
            </w:pPr>
            <w:r>
              <w:rPr>
                <w:color w:val="1E1E1E"/>
                <w:sz w:val="19"/>
                <w:szCs w:val="19"/>
              </w:rPr>
              <w:t>Validation Errors</w:t>
            </w:r>
          </w:p>
        </w:tc>
        <w:tc>
          <w:tcPr>
            <w:tcW w:w="2860" w:type="dxa"/>
            <w:tcMar>
              <w:top w:w="80" w:type="dxa"/>
              <w:left w:w="110" w:type="dxa"/>
              <w:bottom w:w="80" w:type="dxa"/>
              <w:right w:w="110" w:type="dxa"/>
            </w:tcMar>
            <w:vAlign w:val="center"/>
          </w:tcPr>
          <w:p w:rsidR="001E3785" w:rsidRDefault="00E75D8F">
            <w:pPr>
              <w:spacing w:line="250" w:lineRule="auto"/>
            </w:pPr>
            <w:r>
              <w:rPr>
                <w:color w:val="1E1E1E"/>
                <w:sz w:val="19"/>
                <w:szCs w:val="19"/>
              </w:rPr>
              <w:t>Application Layer (request shape)</w:t>
            </w:r>
          </w:p>
        </w:tc>
        <w:tc>
          <w:tcPr>
            <w:tcW w:w="4100" w:type="dxa"/>
            <w:tcMar>
              <w:top w:w="80" w:type="dxa"/>
              <w:left w:w="110" w:type="dxa"/>
              <w:bottom w:w="80" w:type="dxa"/>
              <w:right w:w="110" w:type="dxa"/>
            </w:tcMar>
            <w:vAlign w:val="center"/>
          </w:tcPr>
          <w:p w:rsidR="001E3785" w:rsidRDefault="00E75D8F">
            <w:pPr>
              <w:spacing w:line="250" w:lineRule="auto"/>
            </w:pPr>
            <w:r>
              <w:rPr>
                <w:color w:val="1E1E1E"/>
                <w:sz w:val="19"/>
                <w:szCs w:val="19"/>
              </w:rPr>
              <w:t>Rejected before any downstream layer is invoked; message states which input was malformed</w:t>
            </w:r>
          </w:p>
        </w:tc>
      </w:tr>
      <w:tr w:rsidR="001E3785">
        <w:tblPrEx>
          <w:tblCellMar>
            <w:top w:w="0" w:type="dxa"/>
            <w:bottom w:w="0" w:type="dxa"/>
          </w:tblCellMar>
        </w:tblPrEx>
        <w:tc>
          <w:tcPr>
            <w:tcW w:w="24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Domain Errors</w:t>
            </w:r>
          </w:p>
        </w:tc>
        <w:tc>
          <w:tcPr>
            <w:tcW w:w="28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Domain Layer (business rule violations — e.g. a referenced voice does not exist)</w:t>
            </w:r>
          </w:p>
        </w:tc>
        <w:tc>
          <w:tcPr>
            <w:tcW w:w="41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Rejected before AI Processing or Storage is invoked; message states which rule was violated</w:t>
            </w:r>
          </w:p>
        </w:tc>
      </w:tr>
      <w:tr w:rsidR="001E3785">
        <w:tblPrEx>
          <w:tblCellMar>
            <w:top w:w="0" w:type="dxa"/>
            <w:bottom w:w="0" w:type="dxa"/>
          </w:tblCellMar>
        </w:tblPrEx>
        <w:tc>
          <w:tcPr>
            <w:tcW w:w="2400" w:type="dxa"/>
            <w:tcMar>
              <w:top w:w="80" w:type="dxa"/>
              <w:left w:w="110" w:type="dxa"/>
              <w:bottom w:w="80" w:type="dxa"/>
              <w:right w:w="110" w:type="dxa"/>
            </w:tcMar>
            <w:vAlign w:val="center"/>
          </w:tcPr>
          <w:p w:rsidR="001E3785" w:rsidRDefault="00E75D8F">
            <w:pPr>
              <w:spacing w:line="250" w:lineRule="auto"/>
            </w:pPr>
            <w:r>
              <w:rPr>
                <w:color w:val="1E1E1E"/>
                <w:sz w:val="19"/>
                <w:szCs w:val="19"/>
              </w:rPr>
              <w:t>AI Engine Errors</w:t>
            </w:r>
          </w:p>
        </w:tc>
        <w:tc>
          <w:tcPr>
            <w:tcW w:w="2860" w:type="dxa"/>
            <w:tcMar>
              <w:top w:w="80" w:type="dxa"/>
              <w:left w:w="110" w:type="dxa"/>
              <w:bottom w:w="80" w:type="dxa"/>
              <w:right w:w="110" w:type="dxa"/>
            </w:tcMar>
            <w:vAlign w:val="center"/>
          </w:tcPr>
          <w:p w:rsidR="001E3785" w:rsidRDefault="00E75D8F">
            <w:pPr>
              <w:spacing w:line="250" w:lineRule="auto"/>
            </w:pPr>
            <w:r>
              <w:rPr>
                <w:color w:val="1E1E1E"/>
                <w:sz w:val="19"/>
                <w:szCs w:val="19"/>
              </w:rPr>
              <w:t>AI Processing Layer (an engine invocation failed or returned an unusable result)</w:t>
            </w:r>
          </w:p>
        </w:tc>
        <w:tc>
          <w:tcPr>
            <w:tcW w:w="4100" w:type="dxa"/>
            <w:tcMar>
              <w:top w:w="80" w:type="dxa"/>
              <w:left w:w="110" w:type="dxa"/>
              <w:bottom w:w="80" w:type="dxa"/>
              <w:right w:w="110" w:type="dxa"/>
            </w:tcMar>
            <w:vAlign w:val="center"/>
          </w:tcPr>
          <w:p w:rsidR="001E3785" w:rsidRDefault="00E75D8F">
            <w:pPr>
              <w:spacing w:line="250" w:lineRule="auto"/>
            </w:pPr>
            <w:r>
              <w:rPr>
                <w:color w:val="1E1E1E"/>
                <w:sz w:val="19"/>
                <w:szCs w:val="19"/>
              </w:rPr>
              <w:t>Caught at the Infrastructure Layer boundary; message distinguishes an engine failure from a Domain or Validation failure</w:t>
            </w:r>
          </w:p>
        </w:tc>
      </w:tr>
      <w:tr w:rsidR="001E3785">
        <w:tblPrEx>
          <w:tblCellMar>
            <w:top w:w="0" w:type="dxa"/>
            <w:bottom w:w="0" w:type="dxa"/>
          </w:tblCellMar>
        </w:tblPrEx>
        <w:tc>
          <w:tcPr>
            <w:tcW w:w="24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Infrastructure Errors</w:t>
            </w:r>
          </w:p>
        </w:tc>
        <w:tc>
          <w:tcPr>
            <w:tcW w:w="28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Infrastructure Layer (a subprocess, runtime, or file I/O operation failed)</w:t>
            </w:r>
          </w:p>
        </w:tc>
        <w:tc>
          <w:tcPr>
            <w:tcW w:w="41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Caught at the Infrastructure Layer boundary; includes a designed hook into Logging (§16) for later diagnosis</w:t>
            </w:r>
          </w:p>
        </w:tc>
      </w:tr>
      <w:tr w:rsidR="001E3785">
        <w:tblPrEx>
          <w:tblCellMar>
            <w:top w:w="0" w:type="dxa"/>
            <w:bottom w:w="0" w:type="dxa"/>
          </w:tblCellMar>
        </w:tblPrEx>
        <w:tc>
          <w:tcPr>
            <w:tcW w:w="2400" w:type="dxa"/>
            <w:tcMar>
              <w:top w:w="80" w:type="dxa"/>
              <w:left w:w="110" w:type="dxa"/>
              <w:bottom w:w="80" w:type="dxa"/>
              <w:right w:w="110" w:type="dxa"/>
            </w:tcMar>
            <w:vAlign w:val="center"/>
          </w:tcPr>
          <w:p w:rsidR="001E3785" w:rsidRDefault="00E75D8F">
            <w:pPr>
              <w:spacing w:line="250" w:lineRule="auto"/>
            </w:pPr>
            <w:r>
              <w:rPr>
                <w:color w:val="1E1E1E"/>
                <w:sz w:val="19"/>
                <w:szCs w:val="19"/>
              </w:rPr>
              <w:t>Storage Errors</w:t>
            </w:r>
          </w:p>
        </w:tc>
        <w:tc>
          <w:tcPr>
            <w:tcW w:w="2860" w:type="dxa"/>
            <w:tcMar>
              <w:top w:w="80" w:type="dxa"/>
              <w:left w:w="110" w:type="dxa"/>
              <w:bottom w:w="80" w:type="dxa"/>
              <w:right w:w="110" w:type="dxa"/>
            </w:tcMar>
            <w:vAlign w:val="center"/>
          </w:tcPr>
          <w:p w:rsidR="001E3785" w:rsidRDefault="00E75D8F">
            <w:pPr>
              <w:spacing w:line="250" w:lineRule="auto"/>
            </w:pPr>
            <w:r>
              <w:rPr>
                <w:color w:val="1E1E1E"/>
                <w:sz w:val="19"/>
                <w:szCs w:val="19"/>
              </w:rPr>
              <w:t xml:space="preserve">Storage Layer (read/write failure, missing </w:t>
            </w:r>
            <w:proofErr w:type="spellStart"/>
            <w:r>
              <w:rPr>
                <w:color w:val="1E1E1E"/>
                <w:sz w:val="19"/>
                <w:szCs w:val="19"/>
              </w:rPr>
              <w:t>artifact</w:t>
            </w:r>
            <w:proofErr w:type="spellEnd"/>
            <w:r>
              <w:rPr>
                <w:color w:val="1E1E1E"/>
                <w:sz w:val="19"/>
                <w:szCs w:val="19"/>
              </w:rPr>
              <w:t>)</w:t>
            </w:r>
          </w:p>
        </w:tc>
        <w:tc>
          <w:tcPr>
            <w:tcW w:w="4100" w:type="dxa"/>
            <w:tcMar>
              <w:top w:w="80" w:type="dxa"/>
              <w:left w:w="110" w:type="dxa"/>
              <w:bottom w:w="80" w:type="dxa"/>
              <w:right w:w="110" w:type="dxa"/>
            </w:tcMar>
            <w:vAlign w:val="center"/>
          </w:tcPr>
          <w:p w:rsidR="001E3785" w:rsidRDefault="00E75D8F">
            <w:pPr>
              <w:spacing w:line="250" w:lineRule="auto"/>
            </w:pPr>
            <w:r>
              <w:rPr>
                <w:color w:val="1E1E1E"/>
                <w:sz w:val="19"/>
                <w:szCs w:val="19"/>
              </w:rPr>
              <w:t xml:space="preserve">Caught at the Storage Layer boundary; distinguished from Infrastructure Errors since a missing </w:t>
            </w:r>
            <w:proofErr w:type="spellStart"/>
            <w:r>
              <w:rPr>
                <w:color w:val="1E1E1E"/>
                <w:sz w:val="19"/>
                <w:szCs w:val="19"/>
              </w:rPr>
              <w:t>artifact</w:t>
            </w:r>
            <w:proofErr w:type="spellEnd"/>
            <w:r>
              <w:rPr>
                <w:color w:val="1E1E1E"/>
                <w:sz w:val="19"/>
                <w:szCs w:val="19"/>
              </w:rPr>
              <w:t xml:space="preserve"> is a data condition, not a system fault</w:t>
            </w:r>
          </w:p>
        </w:tc>
      </w:tr>
    </w:tbl>
    <w:p w:rsidR="001E3785" w:rsidRDefault="00E75D8F">
      <w:pPr>
        <w:pStyle w:val="Heading2"/>
        <w:spacing w:before="320" w:after="140"/>
      </w:pPr>
      <w:r>
        <w:rPr>
          <w:b/>
          <w:bCs/>
          <w:color w:val="2E6E8E"/>
          <w:sz w:val="25"/>
          <w:szCs w:val="25"/>
        </w:rPr>
        <w:t>19.2 Design Principles</w:t>
      </w:r>
    </w:p>
    <w:p w:rsidR="001E3785" w:rsidRDefault="00E75D8F">
      <w:pPr>
        <w:pStyle w:val="ListParagraph"/>
        <w:numPr>
          <w:ilvl w:val="0"/>
          <w:numId w:val="2"/>
        </w:numPr>
        <w:spacing w:after="90" w:line="268" w:lineRule="auto"/>
      </w:pPr>
      <w:r>
        <w:t>Every error category is caught at the boundary of the layer that produced it, then re-surfaced upward as a single, consistent error shape — preserving the existing pattern of “failures become readable messages,” now applied uniformly by layer rather than a</w:t>
      </w:r>
      <w:r>
        <w:t>d hoc per function.</w:t>
      </w:r>
    </w:p>
    <w:p w:rsidR="001E3785" w:rsidRDefault="00E75D8F">
      <w:pPr>
        <w:pStyle w:val="ListParagraph"/>
        <w:numPr>
          <w:ilvl w:val="0"/>
          <w:numId w:val="2"/>
        </w:numPr>
        <w:spacing w:after="90" w:line="268" w:lineRule="auto"/>
      </w:pPr>
      <w:r>
        <w:t xml:space="preserve">An error is never silently absorbed: </w:t>
      </w:r>
      <w:proofErr w:type="gramStart"/>
      <w:r>
        <w:t>the</w:t>
      </w:r>
      <w:proofErr w:type="gramEnd"/>
      <w:r>
        <w:t xml:space="preserve"> Stage 1 Analysis's finding that some malformed input is silently dropped rather than reported is treated here as a violation of this strategy, not an acceptable variant of it — every rejected or </w:t>
      </w:r>
      <w:r>
        <w:t>failed operation must produce a message, even if that message is a warning rather than a hard failure.</w:t>
      </w:r>
    </w:p>
    <w:p w:rsidR="001E3785" w:rsidRDefault="00E75D8F">
      <w:pPr>
        <w:pStyle w:val="ListParagraph"/>
        <w:numPr>
          <w:ilvl w:val="0"/>
          <w:numId w:val="2"/>
        </w:numPr>
        <w:spacing w:after="90" w:line="268" w:lineRule="auto"/>
      </w:pPr>
      <w:r>
        <w:t xml:space="preserve">Errors originating in the isolated AI-Processing runtime (RVC) are explicitly categorized as AI Engine Errors rather than Infrastructure Errors, since a </w:t>
      </w:r>
      <w:r>
        <w:t>failure to convert a voice is a different condition, from the user's perspective, than the isolated runtime itself being unreachable — the latter is an Infrastructure Error.</w:t>
      </w:r>
    </w:p>
    <w:p w:rsidR="001E3785" w:rsidRDefault="00E75D8F">
      <w:pPr>
        <w:pStyle w:val="ListParagraph"/>
        <w:numPr>
          <w:ilvl w:val="0"/>
          <w:numId w:val="2"/>
        </w:numPr>
        <w:spacing w:after="90" w:line="268" w:lineRule="auto"/>
      </w:pPr>
      <w:r>
        <w:t>The Application Layer is the single point where any error category is translated i</w:t>
      </w:r>
      <w:r>
        <w:t>nto user-facing language; no lower layer is responsible for producing end-user-readable text, keeping that concern in one place.</w:t>
      </w:r>
    </w:p>
    <w:p w:rsidR="001E3785" w:rsidRDefault="00E75D8F">
      <w:r>
        <w:br w:type="page"/>
      </w:r>
    </w:p>
    <w:p w:rsidR="001E3785" w:rsidRDefault="00E75D8F">
      <w:pPr>
        <w:pStyle w:val="Heading1"/>
        <w:pBdr>
          <w:bottom w:val="single" w:sz="8" w:space="4" w:color="2E6E8E"/>
        </w:pBdr>
        <w:spacing w:before="420" w:after="200"/>
      </w:pPr>
      <w:r>
        <w:rPr>
          <w:b/>
          <w:bCs/>
          <w:color w:val="1B2A4A"/>
          <w:sz w:val="30"/>
          <w:szCs w:val="30"/>
        </w:rPr>
        <w:lastRenderedPageBreak/>
        <w:t>20. Scalability Strategy</w:t>
      </w:r>
    </w:p>
    <w:p w:rsidR="001E3785" w:rsidRDefault="00E75D8F">
      <w:pPr>
        <w:pStyle w:val="Heading2"/>
        <w:spacing w:before="320" w:after="140"/>
      </w:pPr>
      <w:r>
        <w:rPr>
          <w:b/>
          <w:bCs/>
          <w:color w:val="2E6E8E"/>
          <w:sz w:val="25"/>
          <w:szCs w:val="25"/>
        </w:rPr>
        <w:t>20.1 Current Constraints</w:t>
      </w:r>
    </w:p>
    <w:p w:rsidR="001E3785" w:rsidRDefault="00E75D8F">
      <w:pPr>
        <w:spacing w:after="160" w:line="276" w:lineRule="auto"/>
      </w:pPr>
      <w:r>
        <w:rPr>
          <w:color w:val="222222"/>
        </w:rPr>
        <w:t>The system today is single-process, single-user, and synchronous: one reque</w:t>
      </w:r>
      <w:r>
        <w:rPr>
          <w:color w:val="222222"/>
        </w:rPr>
        <w:t>st is handled at a time per user action, on one host, with no queuing or parallel-worker mechanism. This is an appropriate and deliberate constraint for the system's current profile, not a defect — but it does bound how far the system can scale without a d</w:t>
      </w:r>
      <w:r>
        <w:rPr>
          <w:color w:val="222222"/>
        </w:rPr>
        <w:t>esign evolution.</w:t>
      </w:r>
    </w:p>
    <w:p w:rsidR="001E3785" w:rsidRDefault="00E75D8F">
      <w:pPr>
        <w:pStyle w:val="Heading2"/>
        <w:spacing w:before="320" w:after="140"/>
      </w:pPr>
      <w:r>
        <w:rPr>
          <w:b/>
          <w:bCs/>
          <w:color w:val="2E6E8E"/>
          <w:sz w:val="25"/>
          <w:szCs w:val="25"/>
        </w:rPr>
        <w:t>20.2 Scaling Dimensions</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2200"/>
        <w:gridCol w:w="4400"/>
        <w:gridCol w:w="2760"/>
      </w:tblGrid>
      <w:tr w:rsidR="001E3785">
        <w:tblPrEx>
          <w:tblCellMar>
            <w:top w:w="0" w:type="dxa"/>
            <w:bottom w:w="0" w:type="dxa"/>
          </w:tblCellMar>
        </w:tblPrEx>
        <w:trPr>
          <w:tblHeader/>
        </w:trPr>
        <w:tc>
          <w:tcPr>
            <w:tcW w:w="22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Dimension</w:t>
            </w:r>
          </w:p>
        </w:tc>
        <w:tc>
          <w:tcPr>
            <w:tcW w:w="44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Approach</w:t>
            </w:r>
          </w:p>
        </w:tc>
        <w:tc>
          <w:tcPr>
            <w:tcW w:w="276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Enabled By</w:t>
            </w:r>
          </w:p>
        </w:tc>
      </w:tr>
      <w:tr w:rsidR="001E3785">
        <w:tblPrEx>
          <w:tblCellMar>
            <w:top w:w="0" w:type="dxa"/>
            <w:bottom w:w="0" w:type="dxa"/>
          </w:tblCellMar>
        </w:tblPrEx>
        <w:tc>
          <w:tcPr>
            <w:tcW w:w="2200" w:type="dxa"/>
            <w:tcMar>
              <w:top w:w="80" w:type="dxa"/>
              <w:left w:w="110" w:type="dxa"/>
              <w:bottom w:w="80" w:type="dxa"/>
              <w:right w:w="110" w:type="dxa"/>
            </w:tcMar>
            <w:vAlign w:val="center"/>
          </w:tcPr>
          <w:p w:rsidR="001E3785" w:rsidRDefault="00E75D8F">
            <w:pPr>
              <w:spacing w:line="250" w:lineRule="auto"/>
            </w:pPr>
            <w:r>
              <w:rPr>
                <w:color w:val="1E1E1E"/>
                <w:sz w:val="19"/>
                <w:szCs w:val="19"/>
              </w:rPr>
              <w:t>Vertical (per-request)</w:t>
            </w:r>
          </w:p>
        </w:tc>
        <w:tc>
          <w:tcPr>
            <w:tcW w:w="4400" w:type="dxa"/>
            <w:tcMar>
              <w:top w:w="80" w:type="dxa"/>
              <w:left w:w="110" w:type="dxa"/>
              <w:bottom w:w="80" w:type="dxa"/>
              <w:right w:w="110" w:type="dxa"/>
            </w:tcMar>
            <w:vAlign w:val="center"/>
          </w:tcPr>
          <w:p w:rsidR="001E3785" w:rsidRDefault="00E75D8F">
            <w:pPr>
              <w:spacing w:line="250" w:lineRule="auto"/>
            </w:pPr>
            <w:r>
              <w:rPr>
                <w:color w:val="1E1E1E"/>
                <w:sz w:val="19"/>
                <w:szCs w:val="19"/>
              </w:rPr>
              <w:t>Increase GPU/compute capacity available to the AI Processing Layer for larger or faster individual jobs</w:t>
            </w:r>
          </w:p>
        </w:tc>
        <w:tc>
          <w:tcPr>
            <w:tcW w:w="2760" w:type="dxa"/>
            <w:tcMar>
              <w:top w:w="80" w:type="dxa"/>
              <w:left w:w="110" w:type="dxa"/>
              <w:bottom w:w="80" w:type="dxa"/>
              <w:right w:w="110" w:type="dxa"/>
            </w:tcMar>
            <w:vAlign w:val="center"/>
          </w:tcPr>
          <w:p w:rsidR="001E3785" w:rsidRDefault="00E75D8F">
            <w:pPr>
              <w:spacing w:line="250" w:lineRule="auto"/>
            </w:pPr>
            <w:r>
              <w:rPr>
                <w:color w:val="1E1E1E"/>
                <w:sz w:val="19"/>
                <w:szCs w:val="19"/>
              </w:rPr>
              <w:t>Existing engine-per-process isolation already bounds each engine's resource footprint independently</w:t>
            </w:r>
          </w:p>
        </w:tc>
      </w:tr>
      <w:tr w:rsidR="001E3785">
        <w:tblPrEx>
          <w:tblCellMar>
            <w:top w:w="0" w:type="dxa"/>
            <w:bottom w:w="0" w:type="dxa"/>
          </w:tblCellMar>
        </w:tblPrEx>
        <w:tc>
          <w:tcPr>
            <w:tcW w:w="22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Horizontal (concurrent users)</w:t>
            </w:r>
          </w:p>
        </w:tc>
        <w:tc>
          <w:tcPr>
            <w:tcW w:w="44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Run multiple instances of the Application + AI Processing runtime boundary behind a shared entry point, each backed by the same mounted Storage volumes</w:t>
            </w:r>
          </w:p>
        </w:tc>
        <w:tc>
          <w:tcPr>
            <w:tcW w:w="2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The deployment topology in §13, where runtime boundaries are already decoupled from Storage</w:t>
            </w:r>
          </w:p>
        </w:tc>
      </w:tr>
      <w:tr w:rsidR="001E3785">
        <w:tblPrEx>
          <w:tblCellMar>
            <w:top w:w="0" w:type="dxa"/>
            <w:bottom w:w="0" w:type="dxa"/>
          </w:tblCellMar>
        </w:tblPrEx>
        <w:tc>
          <w:tcPr>
            <w:tcW w:w="2200" w:type="dxa"/>
            <w:tcMar>
              <w:top w:w="80" w:type="dxa"/>
              <w:left w:w="110" w:type="dxa"/>
              <w:bottom w:w="80" w:type="dxa"/>
              <w:right w:w="110" w:type="dxa"/>
            </w:tcMar>
            <w:vAlign w:val="center"/>
          </w:tcPr>
          <w:p w:rsidR="001E3785" w:rsidRDefault="00E75D8F">
            <w:pPr>
              <w:spacing w:line="250" w:lineRule="auto"/>
            </w:pPr>
            <w:r>
              <w:rPr>
                <w:color w:val="1E1E1E"/>
                <w:sz w:val="19"/>
                <w:szCs w:val="19"/>
              </w:rPr>
              <w:t>Workload-based (job type)</w:t>
            </w:r>
          </w:p>
        </w:tc>
        <w:tc>
          <w:tcPr>
            <w:tcW w:w="4400" w:type="dxa"/>
            <w:tcMar>
              <w:top w:w="80" w:type="dxa"/>
              <w:left w:w="110" w:type="dxa"/>
              <w:bottom w:w="80" w:type="dxa"/>
              <w:right w:w="110" w:type="dxa"/>
            </w:tcMar>
            <w:vAlign w:val="center"/>
          </w:tcPr>
          <w:p w:rsidR="001E3785" w:rsidRDefault="00E75D8F">
            <w:pPr>
              <w:spacing w:line="250" w:lineRule="auto"/>
            </w:pPr>
            <w:r>
              <w:rPr>
                <w:color w:val="1E1E1E"/>
                <w:sz w:val="19"/>
                <w:szCs w:val="19"/>
              </w:rPr>
              <w:t>Separate short, interactive jobs (single-line generation) from long-running jobs (multi-minute training sessions) onto different processing paths, so one does not block the other</w:t>
            </w:r>
          </w:p>
        </w:tc>
        <w:tc>
          <w:tcPr>
            <w:tcW w:w="2760" w:type="dxa"/>
            <w:tcMar>
              <w:top w:w="80" w:type="dxa"/>
              <w:left w:w="110" w:type="dxa"/>
              <w:bottom w:w="80" w:type="dxa"/>
              <w:right w:w="110" w:type="dxa"/>
            </w:tcMar>
            <w:vAlign w:val="center"/>
          </w:tcPr>
          <w:p w:rsidR="001E3785" w:rsidRDefault="00E75D8F">
            <w:pPr>
              <w:spacing w:line="250" w:lineRule="auto"/>
            </w:pPr>
            <w:r>
              <w:rPr>
                <w:color w:val="1E1E1E"/>
                <w:sz w:val="19"/>
                <w:szCs w:val="19"/>
              </w:rPr>
              <w:t>The existing distinction between interactive tabs a</w:t>
            </w:r>
            <w:r>
              <w:rPr>
                <w:color w:val="1E1E1E"/>
                <w:sz w:val="19"/>
                <w:szCs w:val="19"/>
              </w:rPr>
              <w:t>nd the Training Pipeline, already separate in the component architecture (§6)</w:t>
            </w:r>
          </w:p>
        </w:tc>
      </w:tr>
    </w:tbl>
    <w:p w:rsidR="001E3785" w:rsidRDefault="00E75D8F">
      <w:pPr>
        <w:pStyle w:val="Heading2"/>
        <w:spacing w:before="320" w:after="140"/>
      </w:pPr>
      <w:r>
        <w:rPr>
          <w:b/>
          <w:bCs/>
          <w:color w:val="2E6E8E"/>
          <w:sz w:val="25"/>
          <w:szCs w:val="25"/>
        </w:rPr>
        <w:t>20.3 Design Principle</w:t>
      </w:r>
    </w:p>
    <w:p w:rsidR="001E3785" w:rsidRDefault="00E75D8F">
      <w:pPr>
        <w:spacing w:after="160" w:line="276" w:lineRule="auto"/>
      </w:pPr>
      <w:r>
        <w:rPr>
          <w:color w:val="222222"/>
        </w:rPr>
        <w:t xml:space="preserve">Scalability is designed to be additive to the existing architecture rather than requiring a </w:t>
      </w:r>
      <w:proofErr w:type="spellStart"/>
      <w:r>
        <w:rPr>
          <w:color w:val="222222"/>
        </w:rPr>
        <w:t>rearchitecture</w:t>
      </w:r>
      <w:proofErr w:type="spellEnd"/>
      <w:r>
        <w:rPr>
          <w:color w:val="222222"/>
        </w:rPr>
        <w:t>: because AI Processing engines are already isolated, external processes (§5.4, §18.1), introducing parallelism means running more of those isolated p</w:t>
      </w:r>
      <w:r>
        <w:rPr>
          <w:color w:val="222222"/>
        </w:rPr>
        <w:t>rocesses, coordinated by a designed scheduling responsibility within the Infrastructure Layer — not redesigning how any individual engine is invoked. Training workloads, being long-running and less latency-sensitive, are the natural first candidate for a q</w:t>
      </w:r>
      <w:r>
        <w:rPr>
          <w:color w:val="222222"/>
        </w:rPr>
        <w:t>ueued, asynchronous processing path, while interactive single-line generation remains synchronous.</w:t>
      </w:r>
    </w:p>
    <w:p w:rsidR="001E3785" w:rsidRDefault="00E75D8F">
      <w:r>
        <w:br w:type="page"/>
      </w:r>
    </w:p>
    <w:p w:rsidR="001E3785" w:rsidRDefault="00E75D8F">
      <w:pPr>
        <w:pStyle w:val="Heading1"/>
        <w:pBdr>
          <w:bottom w:val="single" w:sz="8" w:space="4" w:color="2E6E8E"/>
        </w:pBdr>
        <w:spacing w:before="420" w:after="200"/>
      </w:pPr>
      <w:r>
        <w:rPr>
          <w:b/>
          <w:bCs/>
          <w:color w:val="1B2A4A"/>
          <w:sz w:val="30"/>
          <w:szCs w:val="30"/>
        </w:rPr>
        <w:lastRenderedPageBreak/>
        <w:t>21. Extensibility Strategy</w:t>
      </w:r>
    </w:p>
    <w:p w:rsidR="001E3785" w:rsidRDefault="00E75D8F">
      <w:pPr>
        <w:spacing w:after="160" w:line="276" w:lineRule="auto"/>
      </w:pPr>
      <w:r>
        <w:rPr>
          <w:color w:val="222222"/>
        </w:rPr>
        <w:t>The system is designed to be extended along three axes, each corresponding to a natural seam already present in the component ar</w:t>
      </w:r>
      <w:r>
        <w:rPr>
          <w:color w:val="222222"/>
        </w:rPr>
        <w:t>chitecture (§6).</w:t>
      </w:r>
    </w:p>
    <w:p w:rsidR="001E3785" w:rsidRDefault="00E75D8F">
      <w:pPr>
        <w:pStyle w:val="Heading3"/>
        <w:spacing w:before="240" w:after="100"/>
      </w:pPr>
      <w:r>
        <w:rPr>
          <w:b/>
          <w:bCs/>
          <w:color w:val="1E7B6E"/>
          <w:sz w:val="22"/>
          <w:szCs w:val="22"/>
        </w:rPr>
        <w:t>21.1 New AI Processing Engines</w:t>
      </w:r>
    </w:p>
    <w:p w:rsidR="001E3785" w:rsidRDefault="00E75D8F">
      <w:pPr>
        <w:spacing w:after="160" w:line="276" w:lineRule="auto"/>
      </w:pPr>
      <w:r>
        <w:rPr>
          <w:color w:val="222222"/>
        </w:rPr>
        <w:t>Because every existing engine already sits behind a responsibility boundary in the AI Processing Layer (Voice Generation, Neural Narration, Voice Conversion, Transcription, Transliteration), a new or replacem</w:t>
      </w:r>
      <w:r>
        <w:rPr>
          <w:color w:val="222222"/>
        </w:rPr>
        <w:t>ent engine of the same kind is designed to be introducible by giving it the same responsibility boundary, without requiring changes to the Application or Domain layers that consume it.</w:t>
      </w:r>
    </w:p>
    <w:p w:rsidR="001E3785" w:rsidRDefault="00E75D8F">
      <w:pPr>
        <w:pStyle w:val="Heading3"/>
        <w:spacing w:before="240" w:after="100"/>
      </w:pPr>
      <w:r>
        <w:rPr>
          <w:b/>
          <w:bCs/>
          <w:color w:val="1E7B6E"/>
          <w:sz w:val="22"/>
          <w:szCs w:val="22"/>
        </w:rPr>
        <w:t>21.2 New Language / Pronunciation Policies</w:t>
      </w:r>
    </w:p>
    <w:p w:rsidR="001E3785" w:rsidRDefault="00E75D8F">
      <w:pPr>
        <w:spacing w:after="160" w:line="276" w:lineRule="auto"/>
      </w:pPr>
      <w:r>
        <w:rPr>
          <w:color w:val="222222"/>
        </w:rPr>
        <w:t>Pronunciation Routing's poli</w:t>
      </w:r>
      <w:r>
        <w:rPr>
          <w:color w:val="222222"/>
        </w:rPr>
        <w:t>cy check (§6.4, §12) is designed as a decision point that can be extended with additional language or script detection rules without changing the Podcast Engine or Voice Generation — both simply continue to receive one finished audio segment per line regar</w:t>
      </w:r>
      <w:r>
        <w:rPr>
          <w:color w:val="222222"/>
        </w:rPr>
        <w:t>dless of how many routing policies exist behind that decision point.</w:t>
      </w:r>
    </w:p>
    <w:p w:rsidR="001E3785" w:rsidRDefault="00E75D8F">
      <w:pPr>
        <w:pStyle w:val="Heading3"/>
        <w:spacing w:before="240" w:after="100"/>
      </w:pPr>
      <w:r>
        <w:rPr>
          <w:b/>
          <w:bCs/>
          <w:color w:val="1E7B6E"/>
          <w:sz w:val="22"/>
          <w:szCs w:val="22"/>
        </w:rPr>
        <w:t>21.3 New User-Facing Capabilities</w:t>
      </w:r>
    </w:p>
    <w:p w:rsidR="001E3785" w:rsidRDefault="00E75D8F">
      <w:pPr>
        <w:spacing w:after="160" w:line="276" w:lineRule="auto"/>
      </w:pPr>
      <w:r>
        <w:rPr>
          <w:color w:val="222222"/>
        </w:rPr>
        <w:t>The existing tab-per-capability pattern in the Presentation Layer is retained as the extension mechanism for new user-facing capabilities: a new capabili</w:t>
      </w:r>
      <w:r>
        <w:rPr>
          <w:color w:val="222222"/>
        </w:rPr>
        <w:t>ty is designed to arrive as a new tab (or a new control within an existing tab) bound to a new Application Layer handler, following the same request-flow shape defined in §7, rather than as a structurally different kind of entry point.</w:t>
      </w:r>
    </w:p>
    <w:p w:rsidR="001E3785" w:rsidRDefault="00E75D8F">
      <w:pPr>
        <w:pStyle w:val="Heading2"/>
        <w:spacing w:before="320" w:after="140"/>
      </w:pPr>
      <w:r>
        <w:rPr>
          <w:b/>
          <w:bCs/>
          <w:color w:val="2E6E8E"/>
          <w:sz w:val="25"/>
          <w:szCs w:val="25"/>
        </w:rPr>
        <w:t>21.4 Design Principl</w:t>
      </w:r>
      <w:r>
        <w:rPr>
          <w:b/>
          <w:bCs/>
          <w:color w:val="2E6E8E"/>
          <w:sz w:val="25"/>
          <w:szCs w:val="25"/>
        </w:rPr>
        <w:t>e</w:t>
      </w:r>
    </w:p>
    <w:p w:rsidR="001E3785" w:rsidRDefault="00E75D8F">
      <w:pPr>
        <w:spacing w:after="160" w:line="276" w:lineRule="auto"/>
      </w:pPr>
      <w:r>
        <w:rPr>
          <w:color w:val="222222"/>
        </w:rPr>
        <w:t>Extensibility is achieved by keeping responsibility boundaries stable, not by anticipating every future feature in advance. Each axis above extends the system by adding a new implementation behind an existing, already-defined responsibility (a new engine</w:t>
      </w:r>
      <w:r>
        <w:rPr>
          <w:color w:val="222222"/>
        </w:rPr>
        <w:t xml:space="preserve"> behind AI Processing, a new policy behind Pronunciation Routing, a new tab behind the Presentation Layer's existing pattern) rather than by introducing new architectural concepts each time — keeping this document's layer and component definitions (§5–§6) </w:t>
      </w:r>
      <w:r>
        <w:rPr>
          <w:color w:val="222222"/>
        </w:rPr>
        <w:t>stable as the system grows.</w:t>
      </w:r>
    </w:p>
    <w:p w:rsidR="001E3785" w:rsidRDefault="00E75D8F">
      <w:r>
        <w:br w:type="page"/>
      </w:r>
    </w:p>
    <w:p w:rsidR="001E3785" w:rsidRDefault="00E75D8F">
      <w:pPr>
        <w:pStyle w:val="Heading1"/>
        <w:pBdr>
          <w:bottom w:val="single" w:sz="8" w:space="4" w:color="2E6E8E"/>
        </w:pBdr>
        <w:spacing w:before="420" w:after="200"/>
      </w:pPr>
      <w:r>
        <w:rPr>
          <w:b/>
          <w:bCs/>
          <w:color w:val="1B2A4A"/>
          <w:sz w:val="30"/>
          <w:szCs w:val="30"/>
        </w:rPr>
        <w:lastRenderedPageBreak/>
        <w:t>22. Enterprise Design Decisions</w:t>
      </w:r>
    </w:p>
    <w:p w:rsidR="001E3785" w:rsidRDefault="00E75D8F">
      <w:pPr>
        <w:spacing w:after="160" w:line="276" w:lineRule="auto"/>
      </w:pPr>
      <w:r>
        <w:rPr>
          <w:color w:val="222222"/>
        </w:rPr>
        <w:t>This section records the significant architectural decisions embedded in this design, in the standard decision-record shape: what was decided, why, what it buys, what it costs, and what it commits the system to going forward.</w:t>
      </w:r>
    </w:p>
    <w:p w:rsidR="001E3785" w:rsidRDefault="00E75D8F">
      <w:pPr>
        <w:pStyle w:val="Heading3"/>
        <w:spacing w:before="240" w:after="100"/>
      </w:pPr>
      <w:r>
        <w:rPr>
          <w:b/>
          <w:bCs/>
          <w:color w:val="1E7B6E"/>
          <w:sz w:val="22"/>
          <w:szCs w:val="22"/>
        </w:rPr>
        <w:t xml:space="preserve">D-1 — Retain filesystem-based </w:t>
      </w:r>
      <w:r>
        <w:rPr>
          <w:b/>
          <w:bCs/>
          <w:color w:val="1E7B6E"/>
          <w:sz w:val="22"/>
          <w:szCs w:val="22"/>
        </w:rPr>
        <w:t>storage; do not introduce a database</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1600"/>
        <w:gridCol w:w="7760"/>
      </w:tblGrid>
      <w:tr w:rsidR="001E3785">
        <w:tblPrEx>
          <w:tblCellMar>
            <w:top w:w="0" w:type="dxa"/>
            <w:bottom w:w="0" w:type="dxa"/>
          </w:tblCellMar>
        </w:tblPrEx>
        <w:trPr>
          <w:tblHeader/>
        </w:trPr>
        <w:tc>
          <w:tcPr>
            <w:tcW w:w="16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Aspect</w:t>
            </w:r>
          </w:p>
        </w:tc>
        <w:tc>
          <w:tcPr>
            <w:tcW w:w="776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Detail</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Reason</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The system's current profile is single-tenant and does not require concurrent-write coordination, relational querying, or transactional guarantees.</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Benefits</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 xml:space="preserve">Zero additional operational component to deploy or maintain; directly compatible with the existing, unmodified Storage realization; every store </w:t>
            </w:r>
            <w:proofErr w:type="gramStart"/>
            <w:r>
              <w:rPr>
                <w:color w:val="1E1E1E"/>
                <w:sz w:val="19"/>
                <w:szCs w:val="19"/>
              </w:rPr>
              <w:t>maps</w:t>
            </w:r>
            <w:proofErr w:type="gramEnd"/>
            <w:r>
              <w:rPr>
                <w:color w:val="1E1E1E"/>
                <w:sz w:val="19"/>
                <w:szCs w:val="19"/>
              </w:rPr>
              <w:t xml:space="preserve"> cleanly onto a mountable volume for the deployment target in §13.</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Trade-offs</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No efficient way to query acr</w:t>
            </w:r>
            <w:r>
              <w:rPr>
                <w:color w:val="1E1E1E"/>
                <w:sz w:val="19"/>
                <w:szCs w:val="19"/>
              </w:rPr>
              <w:t xml:space="preserve">oss </w:t>
            </w:r>
            <w:proofErr w:type="spellStart"/>
            <w:r>
              <w:rPr>
                <w:color w:val="1E1E1E"/>
                <w:sz w:val="19"/>
                <w:szCs w:val="19"/>
              </w:rPr>
              <w:t>artifacts</w:t>
            </w:r>
            <w:proofErr w:type="spellEnd"/>
            <w:r>
              <w:rPr>
                <w:color w:val="1E1E1E"/>
                <w:sz w:val="19"/>
                <w:szCs w:val="19"/>
              </w:rPr>
              <w:t xml:space="preserve"> (e.g. “all voices trained from session X”) without scanning the filesystem; concurrent multi-tenant write safety is not provided and would need to be revisited if the system moves beyond single-tenant use.</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Future Impact</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Keeps the storage migration path open rather than closed: because Storage is defined as one component with a stable responsibility (§6.9, §14), a future move to a database would replace that component's internal realization without requiring every collabor</w:t>
            </w:r>
            <w:r>
              <w:rPr>
                <w:color w:val="1E1E1E"/>
                <w:sz w:val="19"/>
                <w:szCs w:val="19"/>
              </w:rPr>
              <w:t>ator to change.</w:t>
            </w:r>
          </w:p>
        </w:tc>
      </w:tr>
    </w:tbl>
    <w:p w:rsidR="001E3785" w:rsidRDefault="00E75D8F">
      <w:pPr>
        <w:pStyle w:val="Heading3"/>
        <w:spacing w:before="240" w:after="100"/>
      </w:pPr>
      <w:r>
        <w:rPr>
          <w:b/>
          <w:bCs/>
          <w:color w:val="1E7B6E"/>
          <w:sz w:val="22"/>
          <w:szCs w:val="22"/>
        </w:rPr>
        <w:t>D-2 — Formalize Pronunciation Routing as a first-class component rather than a Podcast Engine feature</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1600"/>
        <w:gridCol w:w="7760"/>
      </w:tblGrid>
      <w:tr w:rsidR="001E3785">
        <w:tblPrEx>
          <w:tblCellMar>
            <w:top w:w="0" w:type="dxa"/>
            <w:bottom w:w="0" w:type="dxa"/>
          </w:tblCellMar>
        </w:tblPrEx>
        <w:trPr>
          <w:tblHeader/>
        </w:trPr>
        <w:tc>
          <w:tcPr>
            <w:tcW w:w="16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Aspect</w:t>
            </w:r>
          </w:p>
        </w:tc>
        <w:tc>
          <w:tcPr>
            <w:tcW w:w="776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Detail</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Reason</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The Stage 1 Analysis found the hybrid pronunciation logic implemented but structurally isolated from the Podcast Engine, with no shared policy surface between the Podcast Engine and other consumers.</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Benefits</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Any future consumer of voice generation (not only the Podcast Engine) can apply the same pronunciation policy consistently; the policy itself can evolve (new languages, new detection rules) without touching Podcast Engine or Voice Generation code paths.</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T</w:t>
            </w:r>
            <w:r>
              <w:rPr>
                <w:color w:val="1E1E1E"/>
                <w:sz w:val="19"/>
                <w:szCs w:val="19"/>
              </w:rPr>
              <w:t>rade-offs</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 xml:space="preserve">Introduces one more explicit hand-off in the request path for every podcast line (§12), which is a small additional orchestration cost compared to </w:t>
            </w:r>
            <w:proofErr w:type="spellStart"/>
            <w:r>
              <w:rPr>
                <w:color w:val="1E1E1E"/>
                <w:sz w:val="19"/>
                <w:szCs w:val="19"/>
              </w:rPr>
              <w:t>inlining</w:t>
            </w:r>
            <w:proofErr w:type="spellEnd"/>
            <w:r>
              <w:rPr>
                <w:color w:val="1E1E1E"/>
                <w:sz w:val="19"/>
                <w:szCs w:val="19"/>
              </w:rPr>
              <w:t xml:space="preserve"> the check directly in the Podcast Engine.</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Future Impact</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Establishes the pattern any future cross-cutting policy (e.g. a content-safety check, a voice-licensing check) would follow: as its own component consulted by producers of AI-generated audio, not duplicated logic inside each one.</w:t>
            </w:r>
          </w:p>
        </w:tc>
      </w:tr>
    </w:tbl>
    <w:p w:rsidR="001E3785" w:rsidRDefault="00E75D8F">
      <w:pPr>
        <w:pStyle w:val="Heading3"/>
        <w:spacing w:before="240" w:after="100"/>
      </w:pPr>
      <w:r>
        <w:rPr>
          <w:b/>
          <w:bCs/>
          <w:color w:val="1E7B6E"/>
          <w:sz w:val="22"/>
          <w:szCs w:val="22"/>
        </w:rPr>
        <w:t>D-3 — Preserve dual-runti</w:t>
      </w:r>
      <w:r>
        <w:rPr>
          <w:b/>
          <w:bCs/>
          <w:color w:val="1E7B6E"/>
          <w:sz w:val="22"/>
          <w:szCs w:val="22"/>
        </w:rPr>
        <w:t>me isolation (primary runtime + isolated RVC runtime)</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1600"/>
        <w:gridCol w:w="7760"/>
      </w:tblGrid>
      <w:tr w:rsidR="001E3785">
        <w:tblPrEx>
          <w:tblCellMar>
            <w:top w:w="0" w:type="dxa"/>
            <w:bottom w:w="0" w:type="dxa"/>
          </w:tblCellMar>
        </w:tblPrEx>
        <w:trPr>
          <w:tblHeader/>
        </w:trPr>
        <w:tc>
          <w:tcPr>
            <w:tcW w:w="16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Aspect</w:t>
            </w:r>
          </w:p>
        </w:tc>
        <w:tc>
          <w:tcPr>
            <w:tcW w:w="776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Detail</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Reason</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 xml:space="preserve">This isolation already exists in the delivered implementation and was assessed in the Stage 1 Analysis as a sound way to avoid dependency conflicts between the primary AI stack and </w:t>
            </w:r>
            <w:proofErr w:type="spellStart"/>
            <w:r>
              <w:rPr>
                <w:color w:val="1E1E1E"/>
                <w:sz w:val="19"/>
                <w:szCs w:val="19"/>
              </w:rPr>
              <w:t>RVC's</w:t>
            </w:r>
            <w:proofErr w:type="spellEnd"/>
            <w:r>
              <w:rPr>
                <w:color w:val="1E1E1E"/>
                <w:sz w:val="19"/>
                <w:szCs w:val="19"/>
              </w:rPr>
              <w:t xml:space="preserve"> own dependency set.</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Benefits</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New AI Processing engines with conflict</w:t>
            </w:r>
            <w:r>
              <w:rPr>
                <w:color w:val="1E1E1E"/>
                <w:sz w:val="19"/>
                <w:szCs w:val="19"/>
              </w:rPr>
              <w:t>ing dependencies have a proven pattern to follow (their own isolated runtime) rather than requiring a single, ever-more-fragile shared dependency set.</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lastRenderedPageBreak/>
              <w:t>Trade-offs</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Two runtimes to provision, monitor (§17), and keep version-consistent is more operational surface than one; cross-runtime calls carry a small latency and complexity cost versus in-process calls.</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Future Impact</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Becomes the template for the designed deployme</w:t>
            </w:r>
            <w:r>
              <w:rPr>
                <w:color w:val="1E1E1E"/>
                <w:sz w:val="19"/>
                <w:szCs w:val="19"/>
              </w:rPr>
              <w:t>nt target's “AI Processing Runtime Boundary(</w:t>
            </w:r>
            <w:proofErr w:type="spellStart"/>
            <w:r>
              <w:rPr>
                <w:color w:val="1E1E1E"/>
                <w:sz w:val="19"/>
                <w:szCs w:val="19"/>
              </w:rPr>
              <w:t>ies</w:t>
            </w:r>
            <w:proofErr w:type="spellEnd"/>
            <w:r>
              <w:rPr>
                <w:color w:val="1E1E1E"/>
                <w:sz w:val="19"/>
                <w:szCs w:val="19"/>
              </w:rPr>
              <w:t>)” (plural, §13.1), meaning the architecture already anticipates a third or fourth isolated runtime being added the same way, without a structural change.</w:t>
            </w:r>
          </w:p>
        </w:tc>
      </w:tr>
    </w:tbl>
    <w:p w:rsidR="001E3785" w:rsidRDefault="00E75D8F">
      <w:pPr>
        <w:pStyle w:val="Heading3"/>
        <w:spacing w:before="240" w:after="100"/>
      </w:pPr>
      <w:r>
        <w:rPr>
          <w:b/>
          <w:bCs/>
          <w:color w:val="1E7B6E"/>
          <w:sz w:val="22"/>
          <w:szCs w:val="22"/>
        </w:rPr>
        <w:t>D-4 — Introduce centralized configuration as an additive layer, not a replacement</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1600"/>
        <w:gridCol w:w="7760"/>
      </w:tblGrid>
      <w:tr w:rsidR="001E3785">
        <w:tblPrEx>
          <w:tblCellMar>
            <w:top w:w="0" w:type="dxa"/>
            <w:bottom w:w="0" w:type="dxa"/>
          </w:tblCellMar>
        </w:tblPrEx>
        <w:trPr>
          <w:tblHeader/>
        </w:trPr>
        <w:tc>
          <w:tcPr>
            <w:tcW w:w="16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Aspect</w:t>
            </w:r>
          </w:p>
        </w:tc>
        <w:tc>
          <w:tcPr>
            <w:tcW w:w="776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Detail</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Reason</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Configuration today is scattered across environment variables, embedded constants, and generated per-invocation files, with no single source of truth, per the Stage 1 Analysis.</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Benefits</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New deployment environments (e.g. a client-hosted instance) can be co</w:t>
            </w:r>
            <w:r>
              <w:rPr>
                <w:color w:val="1E1E1E"/>
                <w:sz w:val="19"/>
                <w:szCs w:val="19"/>
              </w:rPr>
              <w:t>nfigured without hunting through code; feature toggles (e.g. enabling a currently-hidden capability) have one defined place to live.</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Trade-offs</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Adds one more concept (a configuration surface) for contributors to learn, and requires discipline to keep the centralized layer and the existing per-engine generated files from drifting out of sync.</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Future Impact</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Directly unblocks the deployment target i</w:t>
            </w:r>
            <w:r>
              <w:rPr>
                <w:color w:val="1E1E1E"/>
                <w:sz w:val="19"/>
                <w:szCs w:val="19"/>
              </w:rPr>
              <w:t>n §13 and the optional config/ folder in §23, both of which assume a single configuration surface exists to mount or reference.</w:t>
            </w:r>
          </w:p>
        </w:tc>
      </w:tr>
    </w:tbl>
    <w:p w:rsidR="001E3785" w:rsidRDefault="00E75D8F">
      <w:pPr>
        <w:pStyle w:val="Heading3"/>
        <w:spacing w:before="240" w:after="100"/>
      </w:pPr>
      <w:r>
        <w:rPr>
          <w:b/>
          <w:bCs/>
          <w:color w:val="1E7B6E"/>
          <w:sz w:val="22"/>
          <w:szCs w:val="22"/>
        </w:rPr>
        <w:t>D-5 — Introduce Logging and Monitoring as new Infrastructure Layer capabilities</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1600"/>
        <w:gridCol w:w="7760"/>
      </w:tblGrid>
      <w:tr w:rsidR="001E3785">
        <w:tblPrEx>
          <w:tblCellMar>
            <w:top w:w="0" w:type="dxa"/>
            <w:bottom w:w="0" w:type="dxa"/>
          </w:tblCellMar>
        </w:tblPrEx>
        <w:trPr>
          <w:tblHeader/>
        </w:trPr>
        <w:tc>
          <w:tcPr>
            <w:tcW w:w="16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Aspect</w:t>
            </w:r>
          </w:p>
        </w:tc>
        <w:tc>
          <w:tcPr>
            <w:tcW w:w="776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Detail</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Reason</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Neither exists in a structured form today; failures are currently only visible as a per-click UI message with no persistent record, per the Stage 1 Analysis.</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Benefits</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Failures and degraded conditions become diagnosable after the fact, not only in the mome</w:t>
            </w:r>
            <w:r>
              <w:rPr>
                <w:color w:val="1E1E1E"/>
                <w:sz w:val="19"/>
                <w:szCs w:val="19"/>
              </w:rPr>
              <w:t>nt a user hits them; Monitoring's dependency-health checks (§17.2) surface missing/broken dependencies proactively rather than via a confusing user-facing error.</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Trade-offs</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Additional Infrastructure Layer responsibility to design, build, and operate; any log/metric taxonomy introduced must be kept consistent across every layer that emits to it.</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Future Impact</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Establishes the observability foundation the Scalability Strategy (</w:t>
            </w:r>
            <w:r>
              <w:rPr>
                <w:color w:val="1E1E1E"/>
                <w:sz w:val="19"/>
                <w:szCs w:val="19"/>
              </w:rPr>
              <w:t>§20) depends on — scaling decisions require knowing current utilization, which only Monitoring, fed by Logging, is designed to provide.</w:t>
            </w:r>
          </w:p>
        </w:tc>
      </w:tr>
    </w:tbl>
    <w:p w:rsidR="001E3785" w:rsidRDefault="00E75D8F">
      <w:pPr>
        <w:pStyle w:val="Heading3"/>
        <w:spacing w:before="240" w:after="100"/>
      </w:pPr>
      <w:r>
        <w:rPr>
          <w:b/>
          <w:bCs/>
          <w:color w:val="1E7B6E"/>
          <w:sz w:val="22"/>
          <w:szCs w:val="22"/>
        </w:rPr>
        <w:t>D-6 — Keep every new folder and layer additive; do not rename, move, or merge existing structure</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1600"/>
        <w:gridCol w:w="7760"/>
      </w:tblGrid>
      <w:tr w:rsidR="001E3785">
        <w:tblPrEx>
          <w:tblCellMar>
            <w:top w:w="0" w:type="dxa"/>
            <w:bottom w:w="0" w:type="dxa"/>
          </w:tblCellMar>
        </w:tblPrEx>
        <w:trPr>
          <w:tblHeader/>
        </w:trPr>
        <w:tc>
          <w:tcPr>
            <w:tcW w:w="16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Aspect</w:t>
            </w:r>
          </w:p>
        </w:tc>
        <w:tc>
          <w:tcPr>
            <w:tcW w:w="776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Detail</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Reason</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Per engagement rules, the existing delivered project is treated as a fixed, production-relevant foundation; this design must slot around it.</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Benefits</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Zero migration risk for the existing, already-working implementation; the existing project remains indepe</w:t>
            </w:r>
            <w:r>
              <w:rPr>
                <w:color w:val="1E1E1E"/>
                <w:sz w:val="19"/>
                <w:szCs w:val="19"/>
              </w:rPr>
              <w:t>ndently runnable throughout any future incremental adoption of this design.</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Trade-offs</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Some designed components (Pronunciation Routing, Dataset Management, Logging, Monitoring) do not yet have an obvious existing file to “live in,” which Stage 3 (Architecture) will need to resolve concretely — this document intentionally leaves that placemen</w:t>
            </w:r>
            <w:r>
              <w:rPr>
                <w:color w:val="1E1E1E"/>
                <w:sz w:val="19"/>
                <w:szCs w:val="19"/>
              </w:rPr>
              <w:t>t decision to Stage 3.</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lastRenderedPageBreak/>
              <w:t>Future Impact</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Sets the precedent that all future architectural evolution of this system is additive-by-default, which keeps long-term maintenance risk low at the cost of occasionally carrying two ways of doing something (old and new</w:t>
            </w:r>
            <w:r>
              <w:rPr>
                <w:color w:val="1E1E1E"/>
                <w:sz w:val="19"/>
                <w:szCs w:val="19"/>
              </w:rPr>
              <w:t>) during a transition.</w:t>
            </w:r>
          </w:p>
        </w:tc>
      </w:tr>
    </w:tbl>
    <w:p w:rsidR="001E3785" w:rsidRDefault="00E75D8F">
      <w:pPr>
        <w:pStyle w:val="Heading3"/>
        <w:spacing w:before="240" w:after="100"/>
      </w:pPr>
      <w:r>
        <w:rPr>
          <w:b/>
          <w:bCs/>
          <w:color w:val="1E7B6E"/>
          <w:sz w:val="22"/>
          <w:szCs w:val="22"/>
        </w:rPr>
        <w:t>D-7 — Treat Training and interactive workloads as distinct scaling paths</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1600"/>
        <w:gridCol w:w="7760"/>
      </w:tblGrid>
      <w:tr w:rsidR="001E3785">
        <w:tblPrEx>
          <w:tblCellMar>
            <w:top w:w="0" w:type="dxa"/>
            <w:bottom w:w="0" w:type="dxa"/>
          </w:tblCellMar>
        </w:tblPrEx>
        <w:trPr>
          <w:tblHeader/>
        </w:trPr>
        <w:tc>
          <w:tcPr>
            <w:tcW w:w="16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Aspect</w:t>
            </w:r>
          </w:p>
        </w:tc>
        <w:tc>
          <w:tcPr>
            <w:tcW w:w="776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Detail</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Reason</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Training sessions are long-running and latency-insensitive; interactive single-line generation is short and latency-sensitive. Treating them identically would force one to be over- or under-provisioned relative to the other.</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Benefits</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Interactive responsiv</w:t>
            </w:r>
            <w:r>
              <w:rPr>
                <w:color w:val="1E1E1E"/>
                <w:sz w:val="19"/>
                <w:szCs w:val="19"/>
              </w:rPr>
              <w:t>eness is protected from being degraded by long-running training jobs; training throughput can be scaled independently (e.g. batched, queued) without affecting interactive users.</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Trade-offs</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 xml:space="preserve">Requires the Infrastructure Layer to eventually support two different scheduling </w:t>
            </w:r>
            <w:proofErr w:type="spellStart"/>
            <w:r>
              <w:rPr>
                <w:color w:val="1E1E1E"/>
                <w:sz w:val="19"/>
                <w:szCs w:val="19"/>
              </w:rPr>
              <w:t>behaviors</w:t>
            </w:r>
            <w:proofErr w:type="spellEnd"/>
            <w:r>
              <w:rPr>
                <w:color w:val="1E1E1E"/>
                <w:sz w:val="19"/>
                <w:szCs w:val="19"/>
              </w:rPr>
              <w:t xml:space="preserve"> rather than one uniform one, which is more design and operational complexity than a single queue.</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Future Impact</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Establishes workload-type as a first-class scaling d</w:t>
            </w:r>
            <w:r>
              <w:rPr>
                <w:color w:val="1E1E1E"/>
                <w:sz w:val="19"/>
                <w:szCs w:val="19"/>
              </w:rPr>
              <w:t>imension (§20.2), which any future third workload type (e.g. batch podcast generation for many episodes at once) would be expected to classify itself against.</w:t>
            </w:r>
          </w:p>
        </w:tc>
      </w:tr>
    </w:tbl>
    <w:p w:rsidR="001E3785" w:rsidRDefault="00E75D8F">
      <w:r>
        <w:br w:type="page"/>
      </w:r>
    </w:p>
    <w:p w:rsidR="001E3785" w:rsidRDefault="00E75D8F">
      <w:pPr>
        <w:pStyle w:val="Heading1"/>
        <w:pBdr>
          <w:bottom w:val="single" w:sz="8" w:space="4" w:color="2E6E8E"/>
        </w:pBdr>
        <w:spacing w:before="420" w:after="200"/>
      </w:pPr>
      <w:r>
        <w:rPr>
          <w:b/>
          <w:bCs/>
          <w:color w:val="1B2A4A"/>
          <w:sz w:val="30"/>
          <w:szCs w:val="30"/>
        </w:rPr>
        <w:lastRenderedPageBreak/>
        <w:t>23. Folder Structure Analysis</w:t>
      </w:r>
    </w:p>
    <w:p w:rsidR="001E3785" w:rsidRDefault="00E75D8F">
      <w:pPr>
        <w:pStyle w:val="Heading2"/>
        <w:spacing w:before="320" w:after="140"/>
      </w:pPr>
      <w:r>
        <w:rPr>
          <w:b/>
          <w:bCs/>
          <w:color w:val="2E6E8E"/>
          <w:sz w:val="25"/>
          <w:szCs w:val="25"/>
        </w:rPr>
        <w:t>23.1 Existing Structure Review</w:t>
      </w:r>
    </w:p>
    <w:p w:rsidR="001E3785" w:rsidRDefault="00E75D8F">
      <w:pPr>
        <w:spacing w:after="160" w:line="276" w:lineRule="auto"/>
      </w:pPr>
      <w:r>
        <w:rPr>
          <w:color w:val="222222"/>
        </w:rPr>
        <w:t>The existing project's structure is treated in this design as fixed and correct. The table below records each existing top-level path's purpose and its mapping onto the layered architecture defined in §5, so that this design's vocabulary (layers, component</w:t>
      </w:r>
      <w:r>
        <w:rPr>
          <w:color w:val="222222"/>
        </w:rPr>
        <w:t>s, stores) can be understood in terms of the project a reader already has open.</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2600"/>
        <w:gridCol w:w="6760"/>
      </w:tblGrid>
      <w:tr w:rsidR="001E3785">
        <w:tblPrEx>
          <w:tblCellMar>
            <w:top w:w="0" w:type="dxa"/>
            <w:bottom w:w="0" w:type="dxa"/>
          </w:tblCellMar>
        </w:tblPrEx>
        <w:trPr>
          <w:tblHeader/>
        </w:trPr>
        <w:tc>
          <w:tcPr>
            <w:tcW w:w="26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Existing Path</w:t>
            </w:r>
          </w:p>
        </w:tc>
        <w:tc>
          <w:tcPr>
            <w:tcW w:w="676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Purpose</w:t>
            </w:r>
          </w:p>
        </w:tc>
      </w:tr>
      <w:tr w:rsidR="001E3785">
        <w:tblPrEx>
          <w:tblCellMar>
            <w:top w:w="0" w:type="dxa"/>
            <w:bottom w:w="0" w:type="dxa"/>
          </w:tblCellMar>
        </w:tblPrEx>
        <w:tc>
          <w:tcPr>
            <w:tcW w:w="2600" w:type="dxa"/>
            <w:tcMar>
              <w:top w:w="80" w:type="dxa"/>
              <w:left w:w="110" w:type="dxa"/>
              <w:bottom w:w="80" w:type="dxa"/>
              <w:right w:w="110" w:type="dxa"/>
            </w:tcMar>
            <w:vAlign w:val="center"/>
          </w:tcPr>
          <w:p w:rsidR="001E3785" w:rsidRDefault="00E75D8F">
            <w:pPr>
              <w:spacing w:line="250" w:lineRule="auto"/>
            </w:pPr>
            <w:r>
              <w:rPr>
                <w:color w:val="1E1E1E"/>
                <w:sz w:val="19"/>
                <w:szCs w:val="19"/>
              </w:rPr>
              <w:t>README.md</w:t>
            </w:r>
          </w:p>
        </w:tc>
        <w:tc>
          <w:tcPr>
            <w:tcW w:w="6760" w:type="dxa"/>
            <w:tcMar>
              <w:top w:w="80" w:type="dxa"/>
              <w:left w:w="110" w:type="dxa"/>
              <w:bottom w:w="80" w:type="dxa"/>
              <w:right w:w="110" w:type="dxa"/>
            </w:tcMar>
            <w:vAlign w:val="center"/>
          </w:tcPr>
          <w:p w:rsidR="001E3785" w:rsidRDefault="00E75D8F">
            <w:pPr>
              <w:spacing w:line="250" w:lineRule="auto"/>
            </w:pPr>
            <w:r>
              <w:rPr>
                <w:color w:val="1E1E1E"/>
                <w:sz w:val="19"/>
                <w:szCs w:val="19"/>
              </w:rPr>
              <w:t>Project handbook: problem framing, requirements, and setup/troubleshooting instructions. Functions as the informal Stage-0/Stage-1 requirements record for this system.</w:t>
            </w:r>
          </w:p>
        </w:tc>
      </w:tr>
      <w:tr w:rsidR="001E3785">
        <w:tblPrEx>
          <w:tblCellMar>
            <w:top w:w="0" w:type="dxa"/>
            <w:bottom w:w="0" w:type="dxa"/>
          </w:tblCellMar>
        </w:tblPrEx>
        <w:tc>
          <w:tcPr>
            <w:tcW w:w="2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app.py</w:t>
            </w:r>
          </w:p>
        </w:tc>
        <w:tc>
          <w:tcPr>
            <w:tcW w:w="6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The application's Presentation and Application layers, and the majority of its D</w:t>
            </w:r>
            <w:r>
              <w:rPr>
                <w:color w:val="1E1E1E"/>
                <w:sz w:val="19"/>
                <w:szCs w:val="19"/>
              </w:rPr>
              <w:t>omain-adjacent logic: all UI tabs and their orchestration handlers.</w:t>
            </w:r>
          </w:p>
        </w:tc>
      </w:tr>
      <w:tr w:rsidR="001E3785">
        <w:tblPrEx>
          <w:tblCellMar>
            <w:top w:w="0" w:type="dxa"/>
            <w:bottom w:w="0" w:type="dxa"/>
          </w:tblCellMar>
        </w:tblPrEx>
        <w:tc>
          <w:tcPr>
            <w:tcW w:w="2600" w:type="dxa"/>
            <w:tcMar>
              <w:top w:w="80" w:type="dxa"/>
              <w:left w:w="110" w:type="dxa"/>
              <w:bottom w:w="80" w:type="dxa"/>
              <w:right w:w="110" w:type="dxa"/>
            </w:tcMar>
            <w:vAlign w:val="center"/>
          </w:tcPr>
          <w:p w:rsidR="001E3785" w:rsidRDefault="00E75D8F">
            <w:pPr>
              <w:spacing w:line="250" w:lineRule="auto"/>
            </w:pPr>
            <w:r>
              <w:rPr>
                <w:color w:val="1E1E1E"/>
                <w:sz w:val="19"/>
                <w:szCs w:val="19"/>
              </w:rPr>
              <w:t>assets/</w:t>
            </w:r>
          </w:p>
        </w:tc>
        <w:tc>
          <w:tcPr>
            <w:tcW w:w="6760" w:type="dxa"/>
            <w:tcMar>
              <w:top w:w="80" w:type="dxa"/>
              <w:left w:w="110" w:type="dxa"/>
              <w:bottom w:w="80" w:type="dxa"/>
              <w:right w:w="110" w:type="dxa"/>
            </w:tcMar>
            <w:vAlign w:val="center"/>
          </w:tcPr>
          <w:p w:rsidR="001E3785" w:rsidRDefault="00E75D8F">
            <w:pPr>
              <w:spacing w:line="250" w:lineRule="auto"/>
            </w:pPr>
            <w:r>
              <w:rPr>
                <w:color w:val="1E1E1E"/>
                <w:sz w:val="19"/>
                <w:szCs w:val="19"/>
              </w:rPr>
              <w:t>Static presentation assets (currently: the product logo) consumed by the Presentation Layer.</w:t>
            </w:r>
          </w:p>
        </w:tc>
      </w:tr>
      <w:tr w:rsidR="001E3785">
        <w:tblPrEx>
          <w:tblCellMar>
            <w:top w:w="0" w:type="dxa"/>
            <w:bottom w:w="0" w:type="dxa"/>
          </w:tblCellMar>
        </w:tblPrEx>
        <w:tc>
          <w:tcPr>
            <w:tcW w:w="2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demo.html</w:t>
            </w:r>
          </w:p>
        </w:tc>
        <w:tc>
          <w:tcPr>
            <w:tcW w:w="6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A standalone, static illustration of a designed-but-not-yet-built workflow (the Training Pipeline's filtering stages), useful as a Presentation Layer reference mock-up.</w:t>
            </w:r>
          </w:p>
        </w:tc>
      </w:tr>
      <w:tr w:rsidR="001E3785">
        <w:tblPrEx>
          <w:tblCellMar>
            <w:top w:w="0" w:type="dxa"/>
            <w:bottom w:w="0" w:type="dxa"/>
          </w:tblCellMar>
        </w:tblPrEx>
        <w:tc>
          <w:tcPr>
            <w:tcW w:w="2600" w:type="dxa"/>
            <w:tcMar>
              <w:top w:w="80" w:type="dxa"/>
              <w:left w:w="110" w:type="dxa"/>
              <w:bottom w:w="80" w:type="dxa"/>
              <w:right w:w="110" w:type="dxa"/>
            </w:tcMar>
            <w:vAlign w:val="center"/>
          </w:tcPr>
          <w:p w:rsidR="001E3785" w:rsidRDefault="00E75D8F">
            <w:pPr>
              <w:spacing w:line="250" w:lineRule="auto"/>
            </w:pPr>
            <w:proofErr w:type="spellStart"/>
            <w:r>
              <w:rPr>
                <w:color w:val="1E1E1E"/>
                <w:sz w:val="19"/>
                <w:szCs w:val="19"/>
              </w:rPr>
              <w:t>inference_</w:t>
            </w:r>
            <w:proofErr w:type="gramStart"/>
            <w:r>
              <w:rPr>
                <w:color w:val="1E1E1E"/>
                <w:sz w:val="19"/>
                <w:szCs w:val="19"/>
              </w:rPr>
              <w:t>config.toml</w:t>
            </w:r>
            <w:proofErr w:type="spellEnd"/>
            <w:proofErr w:type="gramEnd"/>
          </w:p>
        </w:tc>
        <w:tc>
          <w:tcPr>
            <w:tcW w:w="6760" w:type="dxa"/>
            <w:tcMar>
              <w:top w:w="80" w:type="dxa"/>
              <w:left w:w="110" w:type="dxa"/>
              <w:bottom w:w="80" w:type="dxa"/>
              <w:right w:w="110" w:type="dxa"/>
            </w:tcMar>
            <w:vAlign w:val="center"/>
          </w:tcPr>
          <w:p w:rsidR="001E3785" w:rsidRDefault="00E75D8F">
            <w:pPr>
              <w:spacing w:line="250" w:lineRule="auto"/>
            </w:pPr>
            <w:r>
              <w:rPr>
                <w:color w:val="1E1E1E"/>
                <w:sz w:val="19"/>
                <w:szCs w:val="19"/>
              </w:rPr>
              <w:t xml:space="preserve">A sample/reference configuration </w:t>
            </w:r>
            <w:proofErr w:type="spellStart"/>
            <w:r>
              <w:rPr>
                <w:color w:val="1E1E1E"/>
                <w:sz w:val="19"/>
                <w:szCs w:val="19"/>
              </w:rPr>
              <w:t>artifact</w:t>
            </w:r>
            <w:proofErr w:type="spellEnd"/>
            <w:r>
              <w:rPr>
                <w:color w:val="1E1E1E"/>
                <w:sz w:val="19"/>
                <w:szCs w:val="19"/>
              </w:rPr>
              <w:t xml:space="preserve"> for the Voice Generation engine, illustrating the per-invocation configuration mechanism described in §15.</w:t>
            </w:r>
          </w:p>
        </w:tc>
      </w:tr>
      <w:tr w:rsidR="001E3785">
        <w:tblPrEx>
          <w:tblCellMar>
            <w:top w:w="0" w:type="dxa"/>
            <w:bottom w:w="0" w:type="dxa"/>
          </w:tblCellMar>
        </w:tblPrEx>
        <w:tc>
          <w:tcPr>
            <w:tcW w:w="2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requirements.txt</w:t>
            </w:r>
          </w:p>
        </w:tc>
        <w:tc>
          <w:tcPr>
            <w:tcW w:w="6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The current, partial declaration of the primary runtime's Python dependencies — part of t</w:t>
            </w:r>
            <w:r>
              <w:rPr>
                <w:color w:val="1E1E1E"/>
                <w:sz w:val="19"/>
                <w:szCs w:val="19"/>
              </w:rPr>
              <w:t>he Infrastructure Layer's runtime-provisioning concern.</w:t>
            </w:r>
          </w:p>
        </w:tc>
      </w:tr>
      <w:tr w:rsidR="001E3785">
        <w:tblPrEx>
          <w:tblCellMar>
            <w:top w:w="0" w:type="dxa"/>
            <w:bottom w:w="0" w:type="dxa"/>
          </w:tblCellMar>
        </w:tblPrEx>
        <w:tc>
          <w:tcPr>
            <w:tcW w:w="2600" w:type="dxa"/>
            <w:tcMar>
              <w:top w:w="80" w:type="dxa"/>
              <w:left w:w="110" w:type="dxa"/>
              <w:bottom w:w="80" w:type="dxa"/>
              <w:right w:w="110" w:type="dxa"/>
            </w:tcMar>
            <w:vAlign w:val="center"/>
          </w:tcPr>
          <w:p w:rsidR="001E3785" w:rsidRDefault="00E75D8F">
            <w:pPr>
              <w:spacing w:line="250" w:lineRule="auto"/>
            </w:pPr>
            <w:r>
              <w:rPr>
                <w:color w:val="1E1E1E"/>
                <w:sz w:val="19"/>
                <w:szCs w:val="19"/>
              </w:rPr>
              <w:t>run_all.bat / setup.bat</w:t>
            </w:r>
          </w:p>
        </w:tc>
        <w:tc>
          <w:tcPr>
            <w:tcW w:w="6760" w:type="dxa"/>
            <w:tcMar>
              <w:top w:w="80" w:type="dxa"/>
              <w:left w:w="110" w:type="dxa"/>
              <w:bottom w:w="80" w:type="dxa"/>
              <w:right w:w="110" w:type="dxa"/>
            </w:tcMar>
            <w:vAlign w:val="center"/>
          </w:tcPr>
          <w:p w:rsidR="001E3785" w:rsidRDefault="00E75D8F">
            <w:pPr>
              <w:spacing w:line="250" w:lineRule="auto"/>
            </w:pPr>
            <w:r>
              <w:rPr>
                <w:color w:val="1E1E1E"/>
                <w:sz w:val="19"/>
                <w:szCs w:val="19"/>
              </w:rPr>
              <w:t>Host-level provisioning and launch scripts for the current, single-host deployment profile (§13.1).</w:t>
            </w:r>
          </w:p>
        </w:tc>
      </w:tr>
      <w:tr w:rsidR="001E3785">
        <w:tblPrEx>
          <w:tblCellMar>
            <w:top w:w="0" w:type="dxa"/>
            <w:bottom w:w="0" w:type="dxa"/>
          </w:tblCellMar>
        </w:tblPrEx>
        <w:tc>
          <w:tcPr>
            <w:tcW w:w="2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rvc_infer.py</w:t>
            </w:r>
          </w:p>
        </w:tc>
        <w:tc>
          <w:tcPr>
            <w:tcW w:w="6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The isolated RVC runtime's entry point — the concrete realization of the Voice Conversion engine within the AI Processing Layer, run across the runtime boundary described in §5.4 and §18.1.</w:t>
            </w:r>
          </w:p>
        </w:tc>
      </w:tr>
      <w:tr w:rsidR="001E3785">
        <w:tblPrEx>
          <w:tblCellMar>
            <w:top w:w="0" w:type="dxa"/>
            <w:bottom w:w="0" w:type="dxa"/>
          </w:tblCellMar>
        </w:tblPrEx>
        <w:tc>
          <w:tcPr>
            <w:tcW w:w="2600" w:type="dxa"/>
            <w:tcMar>
              <w:top w:w="80" w:type="dxa"/>
              <w:left w:w="110" w:type="dxa"/>
              <w:bottom w:w="80" w:type="dxa"/>
              <w:right w:w="110" w:type="dxa"/>
            </w:tcMar>
            <w:vAlign w:val="center"/>
          </w:tcPr>
          <w:p w:rsidR="001E3785" w:rsidRDefault="00E75D8F">
            <w:pPr>
              <w:spacing w:line="250" w:lineRule="auto"/>
            </w:pPr>
            <w:proofErr w:type="spellStart"/>
            <w:r>
              <w:rPr>
                <w:color w:val="1E1E1E"/>
                <w:sz w:val="19"/>
                <w:szCs w:val="19"/>
              </w:rPr>
              <w:t>rvc_models</w:t>
            </w:r>
            <w:proofErr w:type="spellEnd"/>
            <w:r>
              <w:rPr>
                <w:color w:val="1E1E1E"/>
                <w:sz w:val="19"/>
                <w:szCs w:val="19"/>
              </w:rPr>
              <w:t>/</w:t>
            </w:r>
          </w:p>
        </w:tc>
        <w:tc>
          <w:tcPr>
            <w:tcW w:w="6760" w:type="dxa"/>
            <w:tcMar>
              <w:top w:w="80" w:type="dxa"/>
              <w:left w:w="110" w:type="dxa"/>
              <w:bottom w:w="80" w:type="dxa"/>
              <w:right w:w="110" w:type="dxa"/>
            </w:tcMar>
            <w:vAlign w:val="center"/>
          </w:tcPr>
          <w:p w:rsidR="001E3785" w:rsidRDefault="00E75D8F">
            <w:pPr>
              <w:spacing w:line="250" w:lineRule="auto"/>
            </w:pPr>
            <w:r>
              <w:rPr>
                <w:color w:val="1E1E1E"/>
                <w:sz w:val="19"/>
                <w:szCs w:val="19"/>
              </w:rPr>
              <w:t>Realizes the Model Store (§14) for voice-conversion models specifically.</w:t>
            </w:r>
          </w:p>
        </w:tc>
      </w:tr>
      <w:tr w:rsidR="001E3785">
        <w:tblPrEx>
          <w:tblCellMar>
            <w:top w:w="0" w:type="dxa"/>
            <w:bottom w:w="0" w:type="dxa"/>
          </w:tblCellMar>
        </w:tblPrEx>
        <w:tc>
          <w:tcPr>
            <w:tcW w:w="2600" w:type="dxa"/>
            <w:shd w:val="clear" w:color="auto" w:fill="F5F7FA"/>
            <w:tcMar>
              <w:top w:w="80" w:type="dxa"/>
              <w:left w:w="110" w:type="dxa"/>
              <w:bottom w:w="80" w:type="dxa"/>
              <w:right w:w="110" w:type="dxa"/>
            </w:tcMar>
            <w:vAlign w:val="center"/>
          </w:tcPr>
          <w:p w:rsidR="001E3785" w:rsidRDefault="00E75D8F">
            <w:pPr>
              <w:spacing w:line="250" w:lineRule="auto"/>
            </w:pPr>
            <w:proofErr w:type="spellStart"/>
            <w:r>
              <w:rPr>
                <w:color w:val="1E1E1E"/>
                <w:sz w:val="19"/>
                <w:szCs w:val="19"/>
              </w:rPr>
              <w:t>saved_voices</w:t>
            </w:r>
            <w:proofErr w:type="spellEnd"/>
            <w:r>
              <w:rPr>
                <w:color w:val="1E1E1E"/>
                <w:sz w:val="19"/>
                <w:szCs w:val="19"/>
              </w:rPr>
              <w:t>/</w:t>
            </w:r>
          </w:p>
        </w:tc>
        <w:tc>
          <w:tcPr>
            <w:tcW w:w="6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Realizes the Voice Store (§14).</w:t>
            </w:r>
          </w:p>
        </w:tc>
      </w:tr>
      <w:tr w:rsidR="001E3785">
        <w:tblPrEx>
          <w:tblCellMar>
            <w:top w:w="0" w:type="dxa"/>
            <w:bottom w:w="0" w:type="dxa"/>
          </w:tblCellMar>
        </w:tblPrEx>
        <w:tc>
          <w:tcPr>
            <w:tcW w:w="2600" w:type="dxa"/>
            <w:tcMar>
              <w:top w:w="80" w:type="dxa"/>
              <w:left w:w="110" w:type="dxa"/>
              <w:bottom w:w="80" w:type="dxa"/>
              <w:right w:w="110" w:type="dxa"/>
            </w:tcMar>
            <w:vAlign w:val="center"/>
          </w:tcPr>
          <w:p w:rsidR="001E3785" w:rsidRDefault="00E75D8F">
            <w:pPr>
              <w:spacing w:line="250" w:lineRule="auto"/>
            </w:pPr>
            <w:r>
              <w:rPr>
                <w:color w:val="1E1E1E"/>
                <w:sz w:val="19"/>
                <w:szCs w:val="19"/>
              </w:rPr>
              <w:t>transliterate.py</w:t>
            </w:r>
          </w:p>
        </w:tc>
        <w:tc>
          <w:tcPr>
            <w:tcW w:w="6760" w:type="dxa"/>
            <w:tcMar>
              <w:top w:w="80" w:type="dxa"/>
              <w:left w:w="110" w:type="dxa"/>
              <w:bottom w:w="80" w:type="dxa"/>
              <w:right w:w="110" w:type="dxa"/>
            </w:tcMar>
            <w:vAlign w:val="center"/>
          </w:tcPr>
          <w:p w:rsidR="001E3785" w:rsidRDefault="00E75D8F">
            <w:pPr>
              <w:spacing w:line="250" w:lineRule="auto"/>
            </w:pPr>
            <w:r>
              <w:rPr>
                <w:color w:val="1E1E1E"/>
                <w:sz w:val="19"/>
                <w:szCs w:val="19"/>
              </w:rPr>
              <w:t>The concrete realization of the Transliteration engine within the AI Processing Layer, currently consumed only by the Hindi/Urdu capability rather than by Pronunciation Routing as a shared component (§6.4).</w:t>
            </w:r>
          </w:p>
        </w:tc>
      </w:tr>
    </w:tbl>
    <w:p w:rsidR="001E3785" w:rsidRDefault="00E75D8F">
      <w:pPr>
        <w:pStyle w:val="Heading2"/>
        <w:spacing w:before="320" w:after="140"/>
      </w:pPr>
      <w:r>
        <w:rPr>
          <w:b/>
          <w:bCs/>
          <w:color w:val="2E6E8E"/>
          <w:sz w:val="25"/>
          <w:szCs w:val="25"/>
        </w:rPr>
        <w:t>23.2 Architectural Strengths of the Existing Str</w:t>
      </w:r>
      <w:r>
        <w:rPr>
          <w:b/>
          <w:bCs/>
          <w:color w:val="2E6E8E"/>
          <w:sz w:val="25"/>
          <w:szCs w:val="25"/>
        </w:rPr>
        <w:t>ucture</w:t>
      </w:r>
    </w:p>
    <w:p w:rsidR="001E3785" w:rsidRDefault="00E75D8F">
      <w:pPr>
        <w:pStyle w:val="ListParagraph"/>
        <w:numPr>
          <w:ilvl w:val="0"/>
          <w:numId w:val="2"/>
        </w:numPr>
        <w:spacing w:after="90" w:line="268" w:lineRule="auto"/>
      </w:pPr>
      <w:r>
        <w:t>Clear separation between the application entry point (app.py), the isolated-runtime engine entry point (rvc_infer.py), and the reusable language-processing module (transliterate.py) — already reflecting, in practice, this design's layer and runtime-boundar</w:t>
      </w:r>
      <w:r>
        <w:t>y distinctions.</w:t>
      </w:r>
    </w:p>
    <w:p w:rsidR="001E3785" w:rsidRDefault="00E75D8F">
      <w:pPr>
        <w:pStyle w:val="ListParagraph"/>
        <w:numPr>
          <w:ilvl w:val="0"/>
          <w:numId w:val="2"/>
        </w:numPr>
        <w:spacing w:after="90" w:line="268" w:lineRule="auto"/>
      </w:pPr>
      <w:r>
        <w:t>Storage-shaped directories (</w:t>
      </w:r>
      <w:proofErr w:type="spellStart"/>
      <w:r>
        <w:t>saved_voices</w:t>
      </w:r>
      <w:proofErr w:type="spellEnd"/>
      <w:r>
        <w:t xml:space="preserve">/, </w:t>
      </w:r>
      <w:proofErr w:type="spellStart"/>
      <w:r>
        <w:t>rvc_models</w:t>
      </w:r>
      <w:proofErr w:type="spellEnd"/>
      <w:r>
        <w:t>/) already exist as dedicated top-level folders rather than being scattered through code-adjacent paths, which is exactly the shape the Storage Layer (§6.9, §14) formalizes.</w:t>
      </w:r>
    </w:p>
    <w:p w:rsidR="001E3785" w:rsidRDefault="00E75D8F">
      <w:pPr>
        <w:pStyle w:val="ListParagraph"/>
        <w:numPr>
          <w:ilvl w:val="0"/>
          <w:numId w:val="2"/>
        </w:numPr>
        <w:spacing w:after="90" w:line="268" w:lineRule="auto"/>
      </w:pPr>
      <w:r>
        <w:lastRenderedPageBreak/>
        <w:t>Setup and lau</w:t>
      </w:r>
      <w:r>
        <w:t>nch concerns are already isolated into their own scripts (setup.bat, run_all.bat) rather than mixed into application code, which is consistent with keeping Infrastructure-Layer provisioning concerns separate from Application-Layer logic.</w:t>
      </w:r>
    </w:p>
    <w:p w:rsidR="001E3785" w:rsidRDefault="00E75D8F">
      <w:pPr>
        <w:pStyle w:val="ListParagraph"/>
        <w:numPr>
          <w:ilvl w:val="0"/>
          <w:numId w:val="2"/>
        </w:numPr>
        <w:spacing w:after="90" w:line="268" w:lineRule="auto"/>
      </w:pPr>
      <w:r>
        <w:t>A reference/illust</w:t>
      </w:r>
      <w:r>
        <w:t xml:space="preserve">rative </w:t>
      </w:r>
      <w:proofErr w:type="spellStart"/>
      <w:r>
        <w:t>artifact</w:t>
      </w:r>
      <w:proofErr w:type="spellEnd"/>
      <w:r>
        <w:t xml:space="preserve"> for not-yet-built </w:t>
      </w:r>
      <w:proofErr w:type="spellStart"/>
      <w:r>
        <w:t>behavior</w:t>
      </w:r>
      <w:proofErr w:type="spellEnd"/>
      <w:r>
        <w:t xml:space="preserve"> (demo.html) is already kept distinct from functional code, which is good practice this design does not disturb.</w:t>
      </w:r>
    </w:p>
    <w:p w:rsidR="001E3785" w:rsidRDefault="00E75D8F">
      <w:pPr>
        <w:pStyle w:val="Heading2"/>
        <w:spacing w:before="320" w:after="140"/>
      </w:pPr>
      <w:r>
        <w:rPr>
          <w:b/>
          <w:bCs/>
          <w:color w:val="2E6E8E"/>
          <w:sz w:val="25"/>
          <w:szCs w:val="25"/>
        </w:rPr>
        <w:t>23.3 Missing Enterprise-Level Folders</w:t>
      </w:r>
    </w:p>
    <w:p w:rsidR="001E3785" w:rsidRDefault="00E75D8F">
      <w:pPr>
        <w:spacing w:after="160" w:line="276" w:lineRule="auto"/>
      </w:pPr>
      <w:r>
        <w:rPr>
          <w:color w:val="222222"/>
        </w:rPr>
        <w:t>Measured against the components and cross-cutting concerns defi</w:t>
      </w:r>
      <w:r>
        <w:rPr>
          <w:color w:val="222222"/>
        </w:rPr>
        <w:t>ned in §6 and §14–§17, the existing structure has no dedicated location for: centralized configuration (§15), structured logging output (§16), monitoring configuration or metrics history (§17), automated tests, formal documentation beyond the README, packa</w:t>
      </w:r>
      <w:r>
        <w:rPr>
          <w:color w:val="222222"/>
        </w:rPr>
        <w:t xml:space="preserve">ged deployment definitions, or a clearly </w:t>
      </w:r>
      <w:proofErr w:type="spellStart"/>
      <w:r>
        <w:rPr>
          <w:color w:val="222222"/>
        </w:rPr>
        <w:t>labeled</w:t>
      </w:r>
      <w:proofErr w:type="spellEnd"/>
      <w:r>
        <w:rPr>
          <w:color w:val="222222"/>
        </w:rPr>
        <w:t xml:space="preserve"> home for training datasets as distinct from raw session chunks (§6.7). None of these absences are defects in the existing structure — they simply reflect capabilities this design introduces that did not prev</w:t>
      </w:r>
      <w:r>
        <w:rPr>
          <w:color w:val="222222"/>
        </w:rPr>
        <w:t>iously need a home.</w:t>
      </w:r>
    </w:p>
    <w:p w:rsidR="001E3785" w:rsidRDefault="00E75D8F">
      <w:pPr>
        <w:pStyle w:val="Heading2"/>
        <w:spacing w:before="320" w:after="140"/>
      </w:pPr>
      <w:r>
        <w:rPr>
          <w:b/>
          <w:bCs/>
          <w:color w:val="2E6E8E"/>
          <w:sz w:val="25"/>
          <w:szCs w:val="25"/>
        </w:rPr>
        <w:t>23.4 Optional Enterprise Extensions</w:t>
      </w:r>
    </w:p>
    <w:p w:rsidR="001E3785" w:rsidRDefault="00E75D8F">
      <w:pPr>
        <w:spacing w:after="160" w:line="276" w:lineRule="auto"/>
      </w:pPr>
      <w:r>
        <w:rPr>
          <w:color w:val="222222"/>
        </w:rPr>
        <w:t>The following tree shows the existing project exactly as delivered, with the optional extensions proposed by this design shown separately and clearly marked. No existing folder or file is renamed, mov</w:t>
      </w:r>
      <w:r>
        <w:rPr>
          <w:color w:val="222222"/>
        </w:rPr>
        <w:t>ed, merged, or removed.</w:t>
      </w:r>
    </w:p>
    <w:p w:rsidR="001E3785" w:rsidRDefault="00E75D8F">
      <w:pPr>
        <w:ind w:left="260"/>
      </w:pPr>
      <w:r>
        <w:rPr>
          <w:rFonts w:ascii="Consolas" w:eastAsia="Consolas" w:hAnsi="Consolas" w:cs="Consolas"/>
          <w:color w:val="3B3B3B"/>
          <w:sz w:val="19"/>
          <w:szCs w:val="19"/>
        </w:rPr>
        <w:t>Existing Project</w:t>
      </w:r>
    </w:p>
    <w:p w:rsidR="001E3785" w:rsidRDefault="00E75D8F">
      <w:pPr>
        <w:ind w:left="260"/>
      </w:pPr>
      <w:r>
        <w:rPr>
          <w:rFonts w:ascii="Consolas" w:eastAsia="Consolas" w:hAnsi="Consolas" w:cs="Consolas"/>
          <w:color w:val="3B3B3B"/>
          <w:sz w:val="19"/>
          <w:szCs w:val="19"/>
        </w:rPr>
        <w:t>├── README.md</w:t>
      </w:r>
    </w:p>
    <w:p w:rsidR="001E3785" w:rsidRDefault="00E75D8F">
      <w:pPr>
        <w:ind w:left="260"/>
      </w:pPr>
      <w:r>
        <w:rPr>
          <w:rFonts w:ascii="Consolas" w:eastAsia="Consolas" w:hAnsi="Consolas" w:cs="Consolas"/>
          <w:color w:val="3B3B3B"/>
          <w:sz w:val="19"/>
          <w:szCs w:val="19"/>
        </w:rPr>
        <w:t>├── app.py</w:t>
      </w:r>
    </w:p>
    <w:p w:rsidR="001E3785" w:rsidRDefault="00E75D8F">
      <w:pPr>
        <w:ind w:left="260"/>
      </w:pPr>
      <w:r>
        <w:rPr>
          <w:rFonts w:ascii="Consolas" w:eastAsia="Consolas" w:hAnsi="Consolas" w:cs="Consolas"/>
          <w:color w:val="3B3B3B"/>
          <w:sz w:val="19"/>
          <w:szCs w:val="19"/>
        </w:rPr>
        <w:t>├── assets/</w:t>
      </w:r>
    </w:p>
    <w:p w:rsidR="001E3785" w:rsidRDefault="00E75D8F">
      <w:pPr>
        <w:ind w:left="260"/>
      </w:pPr>
      <w:r>
        <w:rPr>
          <w:rFonts w:ascii="Consolas" w:eastAsia="Consolas" w:hAnsi="Consolas" w:cs="Consolas"/>
          <w:color w:val="3B3B3B"/>
          <w:sz w:val="19"/>
          <w:szCs w:val="19"/>
        </w:rPr>
        <w:t>├── demo.html</w:t>
      </w:r>
    </w:p>
    <w:p w:rsidR="001E3785" w:rsidRDefault="00E75D8F">
      <w:pPr>
        <w:ind w:left="260"/>
      </w:pPr>
      <w:r>
        <w:rPr>
          <w:rFonts w:ascii="Consolas" w:eastAsia="Consolas" w:hAnsi="Consolas" w:cs="Consolas"/>
          <w:color w:val="3B3B3B"/>
          <w:sz w:val="19"/>
          <w:szCs w:val="19"/>
        </w:rPr>
        <w:t xml:space="preserve">├── </w:t>
      </w:r>
      <w:proofErr w:type="spellStart"/>
      <w:r>
        <w:rPr>
          <w:rFonts w:ascii="Consolas" w:eastAsia="Consolas" w:hAnsi="Consolas" w:cs="Consolas"/>
          <w:color w:val="3B3B3B"/>
          <w:sz w:val="19"/>
          <w:szCs w:val="19"/>
        </w:rPr>
        <w:t>inference_</w:t>
      </w:r>
      <w:proofErr w:type="gramStart"/>
      <w:r>
        <w:rPr>
          <w:rFonts w:ascii="Consolas" w:eastAsia="Consolas" w:hAnsi="Consolas" w:cs="Consolas"/>
          <w:color w:val="3B3B3B"/>
          <w:sz w:val="19"/>
          <w:szCs w:val="19"/>
        </w:rPr>
        <w:t>config.toml</w:t>
      </w:r>
      <w:proofErr w:type="spellEnd"/>
      <w:proofErr w:type="gramEnd"/>
    </w:p>
    <w:p w:rsidR="001E3785" w:rsidRDefault="00E75D8F">
      <w:pPr>
        <w:ind w:left="260"/>
      </w:pPr>
      <w:r>
        <w:rPr>
          <w:rFonts w:ascii="Consolas" w:eastAsia="Consolas" w:hAnsi="Consolas" w:cs="Consolas"/>
          <w:color w:val="3B3B3B"/>
          <w:sz w:val="19"/>
          <w:szCs w:val="19"/>
        </w:rPr>
        <w:t>├── requirements.txt</w:t>
      </w:r>
    </w:p>
    <w:p w:rsidR="001E3785" w:rsidRDefault="00E75D8F">
      <w:pPr>
        <w:ind w:left="260"/>
      </w:pPr>
      <w:r>
        <w:rPr>
          <w:rFonts w:ascii="Consolas" w:eastAsia="Consolas" w:hAnsi="Consolas" w:cs="Consolas"/>
          <w:color w:val="3B3B3B"/>
          <w:sz w:val="19"/>
          <w:szCs w:val="19"/>
        </w:rPr>
        <w:t>├── run_all.bat</w:t>
      </w:r>
    </w:p>
    <w:p w:rsidR="001E3785" w:rsidRDefault="00E75D8F">
      <w:pPr>
        <w:ind w:left="260"/>
      </w:pPr>
      <w:r>
        <w:rPr>
          <w:rFonts w:ascii="Consolas" w:eastAsia="Consolas" w:hAnsi="Consolas" w:cs="Consolas"/>
          <w:color w:val="3B3B3B"/>
          <w:sz w:val="19"/>
          <w:szCs w:val="19"/>
        </w:rPr>
        <w:t>├── rvc_infer.py</w:t>
      </w:r>
    </w:p>
    <w:p w:rsidR="001E3785" w:rsidRDefault="00E75D8F">
      <w:pPr>
        <w:ind w:left="260"/>
      </w:pPr>
      <w:r>
        <w:rPr>
          <w:rFonts w:ascii="Consolas" w:eastAsia="Consolas" w:hAnsi="Consolas" w:cs="Consolas"/>
          <w:color w:val="3B3B3B"/>
          <w:sz w:val="19"/>
          <w:szCs w:val="19"/>
        </w:rPr>
        <w:t xml:space="preserve">├── </w:t>
      </w:r>
      <w:proofErr w:type="spellStart"/>
      <w:r>
        <w:rPr>
          <w:rFonts w:ascii="Consolas" w:eastAsia="Consolas" w:hAnsi="Consolas" w:cs="Consolas"/>
          <w:color w:val="3B3B3B"/>
          <w:sz w:val="19"/>
          <w:szCs w:val="19"/>
        </w:rPr>
        <w:t>rvc_models</w:t>
      </w:r>
      <w:proofErr w:type="spellEnd"/>
      <w:r>
        <w:rPr>
          <w:rFonts w:ascii="Consolas" w:eastAsia="Consolas" w:hAnsi="Consolas" w:cs="Consolas"/>
          <w:color w:val="3B3B3B"/>
          <w:sz w:val="19"/>
          <w:szCs w:val="19"/>
        </w:rPr>
        <w:t>/</w:t>
      </w:r>
    </w:p>
    <w:p w:rsidR="001E3785" w:rsidRDefault="00E75D8F">
      <w:pPr>
        <w:ind w:left="260"/>
      </w:pPr>
      <w:r>
        <w:rPr>
          <w:rFonts w:ascii="Consolas" w:eastAsia="Consolas" w:hAnsi="Consolas" w:cs="Consolas"/>
          <w:color w:val="3B3B3B"/>
          <w:sz w:val="19"/>
          <w:szCs w:val="19"/>
        </w:rPr>
        <w:t xml:space="preserve">├── </w:t>
      </w:r>
      <w:proofErr w:type="spellStart"/>
      <w:r>
        <w:rPr>
          <w:rFonts w:ascii="Consolas" w:eastAsia="Consolas" w:hAnsi="Consolas" w:cs="Consolas"/>
          <w:color w:val="3B3B3B"/>
          <w:sz w:val="19"/>
          <w:szCs w:val="19"/>
        </w:rPr>
        <w:t>saved_voices</w:t>
      </w:r>
      <w:proofErr w:type="spellEnd"/>
      <w:r>
        <w:rPr>
          <w:rFonts w:ascii="Consolas" w:eastAsia="Consolas" w:hAnsi="Consolas" w:cs="Consolas"/>
          <w:color w:val="3B3B3B"/>
          <w:sz w:val="19"/>
          <w:szCs w:val="19"/>
        </w:rPr>
        <w:t>/</w:t>
      </w:r>
    </w:p>
    <w:p w:rsidR="001E3785" w:rsidRDefault="00E75D8F">
      <w:pPr>
        <w:ind w:left="260"/>
      </w:pPr>
      <w:r>
        <w:rPr>
          <w:rFonts w:ascii="Consolas" w:eastAsia="Consolas" w:hAnsi="Consolas" w:cs="Consolas"/>
          <w:color w:val="3B3B3B"/>
          <w:sz w:val="19"/>
          <w:szCs w:val="19"/>
        </w:rPr>
        <w:t>├── setup.bat</w:t>
      </w:r>
    </w:p>
    <w:p w:rsidR="001E3785" w:rsidRDefault="00E75D8F">
      <w:pPr>
        <w:ind w:left="260"/>
      </w:pPr>
      <w:r>
        <w:rPr>
          <w:rFonts w:ascii="Consolas" w:eastAsia="Consolas" w:hAnsi="Consolas" w:cs="Consolas"/>
          <w:color w:val="3B3B3B"/>
          <w:sz w:val="19"/>
          <w:szCs w:val="19"/>
        </w:rPr>
        <w:t>├── transliterate.py</w:t>
      </w:r>
    </w:p>
    <w:p w:rsidR="001E3785" w:rsidRDefault="00E75D8F">
      <w:pPr>
        <w:ind w:left="260"/>
      </w:pPr>
      <w:r>
        <w:rPr>
          <w:rFonts w:ascii="Consolas" w:eastAsia="Consolas" w:hAnsi="Consolas" w:cs="Consolas"/>
          <w:color w:val="3B3B3B"/>
          <w:sz w:val="19"/>
          <w:szCs w:val="19"/>
        </w:rPr>
        <w:t>│</w:t>
      </w:r>
    </w:p>
    <w:p w:rsidR="001E3785" w:rsidRDefault="00E75D8F">
      <w:pPr>
        <w:ind w:left="260"/>
      </w:pPr>
      <w:r>
        <w:rPr>
          <w:rFonts w:ascii="Consolas" w:eastAsia="Consolas" w:hAnsi="Consolas" w:cs="Consolas"/>
          <w:color w:val="3B3B3B"/>
          <w:sz w:val="19"/>
          <w:szCs w:val="19"/>
        </w:rPr>
        <w:t>└── Optional Enterprise Extensions</w:t>
      </w:r>
      <w:proofErr w:type="gramStart"/>
      <w:r>
        <w:rPr>
          <w:rFonts w:ascii="Consolas" w:eastAsia="Consolas" w:hAnsi="Consolas" w:cs="Consolas"/>
          <w:color w:val="3B3B3B"/>
          <w:sz w:val="19"/>
          <w:szCs w:val="19"/>
        </w:rPr>
        <w:t xml:space="preserve">   (</w:t>
      </w:r>
      <w:proofErr w:type="gramEnd"/>
      <w:r>
        <w:rPr>
          <w:rFonts w:ascii="Consolas" w:eastAsia="Consolas" w:hAnsi="Consolas" w:cs="Consolas"/>
          <w:color w:val="3B3B3B"/>
          <w:sz w:val="19"/>
          <w:szCs w:val="19"/>
        </w:rPr>
        <w:t>proposed — none exist today)</w:t>
      </w:r>
    </w:p>
    <w:p w:rsidR="001E3785" w:rsidRDefault="00E75D8F">
      <w:pPr>
        <w:ind w:left="260"/>
      </w:pPr>
      <w:r>
        <w:rPr>
          <w:rFonts w:ascii="Consolas" w:eastAsia="Consolas" w:hAnsi="Consolas" w:cs="Consolas"/>
          <w:color w:val="3B3B3B"/>
          <w:sz w:val="19"/>
          <w:szCs w:val="19"/>
        </w:rPr>
        <w:t xml:space="preserve">    ├── docs/</w:t>
      </w:r>
    </w:p>
    <w:p w:rsidR="001E3785" w:rsidRDefault="00E75D8F">
      <w:pPr>
        <w:ind w:left="260"/>
      </w:pPr>
      <w:r>
        <w:rPr>
          <w:rFonts w:ascii="Consolas" w:eastAsia="Consolas" w:hAnsi="Consolas" w:cs="Consolas"/>
          <w:color w:val="3B3B3B"/>
          <w:sz w:val="19"/>
          <w:szCs w:val="19"/>
        </w:rPr>
        <w:t xml:space="preserve">    ├── docker/</w:t>
      </w:r>
    </w:p>
    <w:p w:rsidR="001E3785" w:rsidRDefault="00E75D8F">
      <w:pPr>
        <w:ind w:left="260"/>
      </w:pPr>
      <w:r>
        <w:rPr>
          <w:rFonts w:ascii="Consolas" w:eastAsia="Consolas" w:hAnsi="Consolas" w:cs="Consolas"/>
          <w:color w:val="3B3B3B"/>
          <w:sz w:val="19"/>
          <w:szCs w:val="19"/>
        </w:rPr>
        <w:t xml:space="preserve">    ├── monitoring/</w:t>
      </w:r>
    </w:p>
    <w:p w:rsidR="001E3785" w:rsidRDefault="00E75D8F">
      <w:pPr>
        <w:ind w:left="260"/>
      </w:pPr>
      <w:r>
        <w:rPr>
          <w:rFonts w:ascii="Consolas" w:eastAsia="Consolas" w:hAnsi="Consolas" w:cs="Consolas"/>
          <w:color w:val="3B3B3B"/>
          <w:sz w:val="19"/>
          <w:szCs w:val="19"/>
        </w:rPr>
        <w:t xml:space="preserve">    ├── logs/</w:t>
      </w:r>
    </w:p>
    <w:p w:rsidR="001E3785" w:rsidRDefault="00E75D8F">
      <w:pPr>
        <w:ind w:left="260"/>
      </w:pPr>
      <w:r>
        <w:rPr>
          <w:rFonts w:ascii="Consolas" w:eastAsia="Consolas" w:hAnsi="Consolas" w:cs="Consolas"/>
          <w:color w:val="3B3B3B"/>
          <w:sz w:val="19"/>
          <w:szCs w:val="19"/>
        </w:rPr>
        <w:t xml:space="preserve">    ├── cache/</w:t>
      </w:r>
    </w:p>
    <w:p w:rsidR="001E3785" w:rsidRDefault="00E75D8F">
      <w:pPr>
        <w:ind w:left="260"/>
      </w:pPr>
      <w:r>
        <w:rPr>
          <w:rFonts w:ascii="Consolas" w:eastAsia="Consolas" w:hAnsi="Consolas" w:cs="Consolas"/>
          <w:color w:val="3B3B3B"/>
          <w:sz w:val="19"/>
          <w:szCs w:val="19"/>
        </w:rPr>
        <w:t xml:space="preserve">    ├── config/</w:t>
      </w:r>
    </w:p>
    <w:p w:rsidR="001E3785" w:rsidRDefault="00E75D8F">
      <w:pPr>
        <w:ind w:left="260"/>
      </w:pPr>
      <w:r>
        <w:rPr>
          <w:rFonts w:ascii="Consolas" w:eastAsia="Consolas" w:hAnsi="Consolas" w:cs="Consolas"/>
          <w:color w:val="3B3B3B"/>
          <w:sz w:val="19"/>
          <w:szCs w:val="19"/>
        </w:rPr>
        <w:t xml:space="preserve">    ├── tests/</w:t>
      </w:r>
    </w:p>
    <w:p w:rsidR="001E3785" w:rsidRDefault="00E75D8F">
      <w:pPr>
        <w:ind w:left="260"/>
      </w:pPr>
      <w:r>
        <w:rPr>
          <w:rFonts w:ascii="Consolas" w:eastAsia="Consolas" w:hAnsi="Consolas" w:cs="Consolas"/>
          <w:color w:val="3B3B3B"/>
          <w:sz w:val="19"/>
          <w:szCs w:val="19"/>
        </w:rPr>
        <w:t xml:space="preserve">    ├── datasets/</w:t>
      </w:r>
    </w:p>
    <w:p w:rsidR="001E3785" w:rsidRDefault="00E75D8F">
      <w:pPr>
        <w:ind w:left="260"/>
      </w:pPr>
      <w:r>
        <w:rPr>
          <w:rFonts w:ascii="Consolas" w:eastAsia="Consolas" w:hAnsi="Consolas" w:cs="Consolas"/>
          <w:color w:val="3B3B3B"/>
          <w:sz w:val="19"/>
          <w:szCs w:val="19"/>
        </w:rPr>
        <w:t xml:space="preserve">    ├── models/</w:t>
      </w:r>
    </w:p>
    <w:p w:rsidR="001E3785" w:rsidRDefault="00E75D8F">
      <w:pPr>
        <w:spacing w:after="200"/>
        <w:ind w:left="260"/>
      </w:pPr>
      <w:r>
        <w:rPr>
          <w:rFonts w:ascii="Consolas" w:eastAsia="Consolas" w:hAnsi="Consolas" w:cs="Consolas"/>
          <w:color w:val="3B3B3B"/>
          <w:sz w:val="19"/>
          <w:szCs w:val="19"/>
        </w:rPr>
        <w:t xml:space="preserve">    └── scripts/</w:t>
      </w:r>
    </w:p>
    <w:p w:rsidR="001E3785" w:rsidRDefault="00E75D8F">
      <w:pPr>
        <w:spacing w:before="60" w:after="200"/>
      </w:pPr>
      <w:r>
        <w:rPr>
          <w:i/>
          <w:iCs/>
          <w:color w:val="5A6470"/>
          <w:sz w:val="18"/>
          <w:szCs w:val="18"/>
        </w:rPr>
        <w:t>Figure 23.1 — Existing Structure (unchanged) with Optional Enterprise Extensions</w:t>
      </w:r>
    </w:p>
    <w:p w:rsidR="001E3785" w:rsidRDefault="00E75D8F">
      <w:pPr>
        <w:pStyle w:val="Heading3"/>
        <w:spacing w:before="240" w:after="100"/>
      </w:pPr>
      <w:r>
        <w:rPr>
          <w:b/>
          <w:bCs/>
          <w:color w:val="1E7B6E"/>
          <w:sz w:val="22"/>
          <w:szCs w:val="22"/>
        </w:rPr>
        <w:t>docs/</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1600"/>
        <w:gridCol w:w="7760"/>
      </w:tblGrid>
      <w:tr w:rsidR="001E3785">
        <w:tblPrEx>
          <w:tblCellMar>
            <w:top w:w="0" w:type="dxa"/>
            <w:bottom w:w="0" w:type="dxa"/>
          </w:tblCellMar>
        </w:tblPrEx>
        <w:trPr>
          <w:tblHeader/>
        </w:trPr>
        <w:tc>
          <w:tcPr>
            <w:tcW w:w="16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Aspect</w:t>
            </w:r>
          </w:p>
        </w:tc>
        <w:tc>
          <w:tcPr>
            <w:tcW w:w="776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Detail</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Purpose</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Home for formal engineering documentation beyond the README — this SDS, the Stage 1 Analysis, and future stage documents.</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lastRenderedPageBreak/>
              <w:t>Responsibility</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 xml:space="preserve">Holds design and process </w:t>
            </w:r>
            <w:proofErr w:type="spellStart"/>
            <w:r>
              <w:rPr>
                <w:color w:val="1E1E1E"/>
                <w:sz w:val="19"/>
                <w:szCs w:val="19"/>
              </w:rPr>
              <w:t>artifacts</w:t>
            </w:r>
            <w:proofErr w:type="spellEnd"/>
            <w:r>
              <w:rPr>
                <w:color w:val="1E1E1E"/>
                <w:sz w:val="19"/>
                <w:szCs w:val="19"/>
              </w:rPr>
              <w:t>; holds no runtime code or configuration.</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Why Useful</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Gives the Software Engineering Life Cycle's own outputs (Analysis, this SDS, future Architecture/Implementation-stage documents) a stable, discoverable home distinct from application code.</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Why Non-Invasive</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Purely additive folder of documents; nothing in a</w:t>
            </w:r>
            <w:r>
              <w:rPr>
                <w:color w:val="1E1E1E"/>
                <w:sz w:val="19"/>
                <w:szCs w:val="19"/>
              </w:rPr>
              <w:t>pp.py, rvc_infer.py, or transliterate.py reads from or depends on it.</w:t>
            </w:r>
          </w:p>
        </w:tc>
      </w:tr>
    </w:tbl>
    <w:p w:rsidR="001E3785" w:rsidRDefault="00E75D8F">
      <w:pPr>
        <w:pStyle w:val="Heading3"/>
        <w:spacing w:before="240" w:after="100"/>
      </w:pPr>
      <w:r>
        <w:rPr>
          <w:b/>
          <w:bCs/>
          <w:color w:val="1E7B6E"/>
          <w:sz w:val="22"/>
          <w:szCs w:val="22"/>
        </w:rPr>
        <w:t>docker/</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1600"/>
        <w:gridCol w:w="7760"/>
      </w:tblGrid>
      <w:tr w:rsidR="001E3785">
        <w:tblPrEx>
          <w:tblCellMar>
            <w:top w:w="0" w:type="dxa"/>
            <w:bottom w:w="0" w:type="dxa"/>
          </w:tblCellMar>
        </w:tblPrEx>
        <w:trPr>
          <w:tblHeader/>
        </w:trPr>
        <w:tc>
          <w:tcPr>
            <w:tcW w:w="16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Aspect</w:t>
            </w:r>
          </w:p>
        </w:tc>
        <w:tc>
          <w:tcPr>
            <w:tcW w:w="776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Detail</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Purpose</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Home for the packaged-deployment definitions implied by the deployment target in §13.</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Responsibility</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Holds deployment/build definitions only — no application logic.</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Why Useful</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Gives the designed deployment target in §13 a concrete location without requiring any existing script (setup.bat, run_all.bat) to move or change.</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Why Non-Invasive</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Existing host-level setup/launch scripts remain fully functional and unreferenced by anything in this folder unless a future stage explicitly wires them together.</w:t>
            </w:r>
          </w:p>
        </w:tc>
      </w:tr>
    </w:tbl>
    <w:p w:rsidR="001E3785" w:rsidRDefault="00E75D8F">
      <w:pPr>
        <w:pStyle w:val="Heading3"/>
        <w:spacing w:before="240" w:after="100"/>
      </w:pPr>
      <w:r>
        <w:rPr>
          <w:b/>
          <w:bCs/>
          <w:color w:val="1E7B6E"/>
          <w:sz w:val="22"/>
          <w:szCs w:val="22"/>
        </w:rPr>
        <w:t>monitoring/</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1600"/>
        <w:gridCol w:w="7760"/>
      </w:tblGrid>
      <w:tr w:rsidR="001E3785">
        <w:tblPrEx>
          <w:tblCellMar>
            <w:top w:w="0" w:type="dxa"/>
            <w:bottom w:w="0" w:type="dxa"/>
          </w:tblCellMar>
        </w:tblPrEx>
        <w:trPr>
          <w:tblHeader/>
        </w:trPr>
        <w:tc>
          <w:tcPr>
            <w:tcW w:w="16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Aspect</w:t>
            </w:r>
          </w:p>
        </w:tc>
        <w:tc>
          <w:tcPr>
            <w:tcW w:w="776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Detail</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Purpose</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Home for the Monitoring component's designed configuration and any locally-persisted metrics history described in §17.</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Responsibility</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Holds monitoring configuration and metrics data only.</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Why Useful</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Gives §17's dependency-health, resource-utilization, and operational-metrics capabilities a concrete storage location distinct from the application's own runtime state.</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Why Non-Invasive</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A new, empty-by-default folder that no existing component reads from or writes to today; it becomes active only once a future stage implements the Monitoring component.</w:t>
            </w:r>
          </w:p>
        </w:tc>
      </w:tr>
    </w:tbl>
    <w:p w:rsidR="001E3785" w:rsidRDefault="00E75D8F">
      <w:pPr>
        <w:pStyle w:val="Heading3"/>
        <w:spacing w:before="240" w:after="100"/>
      </w:pPr>
      <w:r>
        <w:rPr>
          <w:b/>
          <w:bCs/>
          <w:color w:val="1E7B6E"/>
          <w:sz w:val="22"/>
          <w:szCs w:val="22"/>
        </w:rPr>
        <w:t>logs/</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1600"/>
        <w:gridCol w:w="7760"/>
      </w:tblGrid>
      <w:tr w:rsidR="001E3785">
        <w:tblPrEx>
          <w:tblCellMar>
            <w:top w:w="0" w:type="dxa"/>
            <w:bottom w:w="0" w:type="dxa"/>
          </w:tblCellMar>
        </w:tblPrEx>
        <w:trPr>
          <w:tblHeader/>
        </w:trPr>
        <w:tc>
          <w:tcPr>
            <w:tcW w:w="16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Aspect</w:t>
            </w:r>
          </w:p>
        </w:tc>
        <w:tc>
          <w:tcPr>
            <w:tcW w:w="776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Detail</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Purpose</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Home for the Logging component's structured output described in §16.</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Responsibility</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Holds log output only.</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Why Useful</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 xml:space="preserve">Gives structured, </w:t>
            </w:r>
            <w:proofErr w:type="spellStart"/>
            <w:r>
              <w:rPr>
                <w:color w:val="1E1E1E"/>
                <w:sz w:val="19"/>
                <w:szCs w:val="19"/>
              </w:rPr>
              <w:t>leveled</w:t>
            </w:r>
            <w:proofErr w:type="spellEnd"/>
            <w:r>
              <w:rPr>
                <w:color w:val="1E1E1E"/>
                <w:sz w:val="19"/>
                <w:szCs w:val="19"/>
              </w:rPr>
              <w:t xml:space="preserve"> log records (§16.2) a durable destination distinct from the Temp/Cache Store, so log retention can be governed independently of generation-output retention.</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Why Non-Invasive</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Purely additive; today's existing per-function error-st</w:t>
            </w:r>
            <w:r>
              <w:rPr>
                <w:color w:val="1E1E1E"/>
                <w:sz w:val="19"/>
                <w:szCs w:val="19"/>
              </w:rPr>
              <w:t>ring pattern continues to work unmodified and unaffected by this folder's presence.</w:t>
            </w:r>
          </w:p>
        </w:tc>
      </w:tr>
    </w:tbl>
    <w:p w:rsidR="001E3785" w:rsidRDefault="00E75D8F">
      <w:pPr>
        <w:pStyle w:val="Heading3"/>
        <w:spacing w:before="240" w:after="100"/>
      </w:pPr>
      <w:r>
        <w:rPr>
          <w:b/>
          <w:bCs/>
          <w:color w:val="1E7B6E"/>
          <w:sz w:val="22"/>
          <w:szCs w:val="22"/>
        </w:rPr>
        <w:t>cache/</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1600"/>
        <w:gridCol w:w="7760"/>
      </w:tblGrid>
      <w:tr w:rsidR="001E3785">
        <w:tblPrEx>
          <w:tblCellMar>
            <w:top w:w="0" w:type="dxa"/>
            <w:bottom w:w="0" w:type="dxa"/>
          </w:tblCellMar>
        </w:tblPrEx>
        <w:trPr>
          <w:tblHeader/>
        </w:trPr>
        <w:tc>
          <w:tcPr>
            <w:tcW w:w="16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lastRenderedPageBreak/>
              <w:t>Aspect</w:t>
            </w:r>
          </w:p>
        </w:tc>
        <w:tc>
          <w:tcPr>
            <w:tcW w:w="776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Detail</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Purpose</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A designated, top-level location for AI engine model/download caches, generalizing what today is an engine-specific cache directory.</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Responsibility</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Holds engine-managed, regenerable cache content only — never durable user data.</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Why Useful</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Makes it possible to bound, clear, or exclude cache content from backups independently of the durable Voice/Model/Training Stores (§14), and keeps regenerable content out of the optional docs/ or logs/ folders.</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Why Non-Invasive</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Additive and regenerable by</w:t>
            </w:r>
            <w:r>
              <w:rPr>
                <w:color w:val="1E1E1E"/>
                <w:sz w:val="19"/>
                <w:szCs w:val="19"/>
              </w:rPr>
              <w:t xml:space="preserve"> definition; nothing durable is proposed to live here, so its removal at any time cannot cause data loss.</w:t>
            </w:r>
          </w:p>
        </w:tc>
      </w:tr>
    </w:tbl>
    <w:p w:rsidR="001E3785" w:rsidRDefault="00E75D8F">
      <w:pPr>
        <w:pStyle w:val="Heading3"/>
        <w:spacing w:before="240" w:after="100"/>
      </w:pPr>
      <w:r>
        <w:rPr>
          <w:b/>
          <w:bCs/>
          <w:color w:val="1E7B6E"/>
          <w:sz w:val="22"/>
          <w:szCs w:val="22"/>
        </w:rPr>
        <w:t>config/</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1600"/>
        <w:gridCol w:w="7760"/>
      </w:tblGrid>
      <w:tr w:rsidR="001E3785">
        <w:tblPrEx>
          <w:tblCellMar>
            <w:top w:w="0" w:type="dxa"/>
            <w:bottom w:w="0" w:type="dxa"/>
          </w:tblCellMar>
        </w:tblPrEx>
        <w:trPr>
          <w:tblHeader/>
        </w:trPr>
        <w:tc>
          <w:tcPr>
            <w:tcW w:w="16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Aspect</w:t>
            </w:r>
          </w:p>
        </w:tc>
        <w:tc>
          <w:tcPr>
            <w:tcW w:w="776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Detail</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Purpose</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Home for the centralized configuration surface described in §15 (deployment, engine, and feature configuration scopes).</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Responsibility</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Holds configuration values only — no code, no secrets in plaintext by design convention.</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Why Useful</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Gives new deployment environments (§13) and feature toggles a single place to be defined, instead of being embedded in code as they are today.</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Why Non-Invasive</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 xml:space="preserve">Additive and consulted, not required: existing embedded constants and generated per-invocation </w:t>
            </w:r>
            <w:r>
              <w:rPr>
                <w:color w:val="1E1E1E"/>
                <w:sz w:val="19"/>
                <w:szCs w:val="19"/>
              </w:rPr>
              <w:t xml:space="preserve">configuration files (e.g. </w:t>
            </w:r>
            <w:proofErr w:type="spellStart"/>
            <w:r>
              <w:rPr>
                <w:color w:val="1E1E1E"/>
                <w:sz w:val="19"/>
                <w:szCs w:val="19"/>
              </w:rPr>
              <w:t>inference_</w:t>
            </w:r>
            <w:proofErr w:type="gramStart"/>
            <w:r>
              <w:rPr>
                <w:color w:val="1E1E1E"/>
                <w:sz w:val="19"/>
                <w:szCs w:val="19"/>
              </w:rPr>
              <w:t>config.toml's</w:t>
            </w:r>
            <w:proofErr w:type="spellEnd"/>
            <w:proofErr w:type="gramEnd"/>
            <w:r>
              <w:rPr>
                <w:color w:val="1E1E1E"/>
                <w:sz w:val="19"/>
                <w:szCs w:val="19"/>
              </w:rPr>
              <w:t xml:space="preserve"> pattern) continue to function without modification unless a future stage chooses to migrate a given value here.</w:t>
            </w:r>
          </w:p>
        </w:tc>
      </w:tr>
    </w:tbl>
    <w:p w:rsidR="001E3785" w:rsidRDefault="00E75D8F">
      <w:pPr>
        <w:pStyle w:val="Heading3"/>
        <w:spacing w:before="240" w:after="100"/>
      </w:pPr>
      <w:r>
        <w:rPr>
          <w:b/>
          <w:bCs/>
          <w:color w:val="1E7B6E"/>
          <w:sz w:val="22"/>
          <w:szCs w:val="22"/>
        </w:rPr>
        <w:t>tests/</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1600"/>
        <w:gridCol w:w="7760"/>
      </w:tblGrid>
      <w:tr w:rsidR="001E3785">
        <w:tblPrEx>
          <w:tblCellMar>
            <w:top w:w="0" w:type="dxa"/>
            <w:bottom w:w="0" w:type="dxa"/>
          </w:tblCellMar>
        </w:tblPrEx>
        <w:trPr>
          <w:tblHeader/>
        </w:trPr>
        <w:tc>
          <w:tcPr>
            <w:tcW w:w="16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Aspect</w:t>
            </w:r>
          </w:p>
        </w:tc>
        <w:tc>
          <w:tcPr>
            <w:tcW w:w="776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Detail</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Purpose</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Home for automated verification of both existing and newly designed components.</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Responsibility</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Holds test code and fixtures only — never application or engine code.</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Why Useful</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 xml:space="preserve">Gives the system a location to accumulate the kind of verification the Stage 1 Analysis performed manually (parsing edge cases, transliteration accuracy, path-handling </w:t>
            </w:r>
            <w:proofErr w:type="spellStart"/>
            <w:r>
              <w:rPr>
                <w:color w:val="1E1E1E"/>
                <w:sz w:val="19"/>
                <w:szCs w:val="19"/>
              </w:rPr>
              <w:t>behavior</w:t>
            </w:r>
            <w:proofErr w:type="spellEnd"/>
            <w:r>
              <w:rPr>
                <w:color w:val="1E1E1E"/>
                <w:sz w:val="19"/>
                <w:szCs w:val="19"/>
              </w:rPr>
              <w:t>) as repeatable, automated checks going forward.</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Why Non-Invasive</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Strictly addi</w:t>
            </w:r>
            <w:r>
              <w:rPr>
                <w:color w:val="1E1E1E"/>
                <w:sz w:val="19"/>
                <w:szCs w:val="19"/>
              </w:rPr>
              <w:t>tive; an empty tests/ folder has zero effect on how the existing application runs.</w:t>
            </w:r>
          </w:p>
        </w:tc>
      </w:tr>
    </w:tbl>
    <w:p w:rsidR="001E3785" w:rsidRDefault="00E75D8F">
      <w:pPr>
        <w:pStyle w:val="Heading3"/>
        <w:spacing w:before="240" w:after="100"/>
      </w:pPr>
      <w:r>
        <w:rPr>
          <w:b/>
          <w:bCs/>
          <w:color w:val="1E7B6E"/>
          <w:sz w:val="22"/>
          <w:szCs w:val="22"/>
        </w:rPr>
        <w:t>datasets/</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1600"/>
        <w:gridCol w:w="7760"/>
      </w:tblGrid>
      <w:tr w:rsidR="001E3785">
        <w:tblPrEx>
          <w:tblCellMar>
            <w:top w:w="0" w:type="dxa"/>
            <w:bottom w:w="0" w:type="dxa"/>
          </w:tblCellMar>
        </w:tblPrEx>
        <w:trPr>
          <w:tblHeader/>
        </w:trPr>
        <w:tc>
          <w:tcPr>
            <w:tcW w:w="16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Aspect</w:t>
            </w:r>
          </w:p>
        </w:tc>
        <w:tc>
          <w:tcPr>
            <w:tcW w:w="776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Detail</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Purpose</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 xml:space="preserve">Home for the Dataset Management component's assembled, </w:t>
            </w:r>
            <w:proofErr w:type="spellStart"/>
            <w:r>
              <w:rPr>
                <w:color w:val="1E1E1E"/>
                <w:sz w:val="19"/>
                <w:szCs w:val="19"/>
              </w:rPr>
              <w:t>labeled</w:t>
            </w:r>
            <w:proofErr w:type="spellEnd"/>
            <w:r>
              <w:rPr>
                <w:color w:val="1E1E1E"/>
                <w:sz w:val="19"/>
                <w:szCs w:val="19"/>
              </w:rPr>
              <w:t xml:space="preserve"> training datasets, as distinct from the raw per-session chunks already held in the existing Training Store realization.</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Responsibility</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 xml:space="preserve">Holds assembled, model-ready dataset </w:t>
            </w:r>
            <w:proofErr w:type="spellStart"/>
            <w:r>
              <w:rPr>
                <w:color w:val="1E1E1E"/>
                <w:sz w:val="19"/>
                <w:szCs w:val="19"/>
              </w:rPr>
              <w:t>artifacts</w:t>
            </w:r>
            <w:proofErr w:type="spellEnd"/>
            <w:r>
              <w:rPr>
                <w:color w:val="1E1E1E"/>
                <w:sz w:val="19"/>
                <w:szCs w:val="19"/>
              </w:rPr>
              <w:t xml:space="preserve"> only.</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Why Useful</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 xml:space="preserve">Gives §6.7's designed Dataset Management responsibility (assembling cleaned chunks plus reference text into a </w:t>
            </w:r>
            <w:proofErr w:type="spellStart"/>
            <w:r>
              <w:rPr>
                <w:color w:val="1E1E1E"/>
                <w:sz w:val="19"/>
                <w:szCs w:val="19"/>
              </w:rPr>
              <w:t>labeled</w:t>
            </w:r>
            <w:proofErr w:type="spellEnd"/>
            <w:r>
              <w:rPr>
                <w:color w:val="1E1E1E"/>
                <w:sz w:val="19"/>
                <w:szCs w:val="19"/>
              </w:rPr>
              <w:t>, model-ready unit) a home distinct from raw training sessions, so “raw upload” and “ready-to-train dataset” are never confused.</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lastRenderedPageBreak/>
              <w:t>Why Non-Invasive</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Additive; the existing training-session storage pattern is unaffected and continues to hold raw/intermediate chunks exactly as it does today.</w:t>
            </w:r>
          </w:p>
        </w:tc>
      </w:tr>
    </w:tbl>
    <w:p w:rsidR="001E3785" w:rsidRDefault="00E75D8F">
      <w:pPr>
        <w:pStyle w:val="Heading3"/>
        <w:spacing w:before="240" w:after="100"/>
      </w:pPr>
      <w:r>
        <w:rPr>
          <w:b/>
          <w:bCs/>
          <w:color w:val="1E7B6E"/>
          <w:sz w:val="22"/>
          <w:szCs w:val="22"/>
        </w:rPr>
        <w:t>models/</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1600"/>
        <w:gridCol w:w="7760"/>
      </w:tblGrid>
      <w:tr w:rsidR="001E3785">
        <w:tblPrEx>
          <w:tblCellMar>
            <w:top w:w="0" w:type="dxa"/>
            <w:bottom w:w="0" w:type="dxa"/>
          </w:tblCellMar>
        </w:tblPrEx>
        <w:trPr>
          <w:tblHeader/>
        </w:trPr>
        <w:tc>
          <w:tcPr>
            <w:tcW w:w="16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Aspect</w:t>
            </w:r>
          </w:p>
        </w:tc>
        <w:tc>
          <w:tcPr>
            <w:tcW w:w="776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Detail</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Purpose</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 xml:space="preserve">An optional, engine-agnostic model </w:t>
            </w:r>
            <w:proofErr w:type="spellStart"/>
            <w:r>
              <w:rPr>
                <w:color w:val="1E1E1E"/>
                <w:sz w:val="19"/>
                <w:szCs w:val="19"/>
              </w:rPr>
              <w:t>catalog</w:t>
            </w:r>
            <w:proofErr w:type="spellEnd"/>
            <w:r>
              <w:rPr>
                <w:color w:val="1E1E1E"/>
                <w:sz w:val="19"/>
                <w:szCs w:val="19"/>
              </w:rPr>
              <w:t xml:space="preserve"> location, generalizing today's RVC-specific </w:t>
            </w:r>
            <w:proofErr w:type="spellStart"/>
            <w:r>
              <w:rPr>
                <w:color w:val="1E1E1E"/>
                <w:sz w:val="19"/>
                <w:szCs w:val="19"/>
              </w:rPr>
              <w:t>rvc_models</w:t>
            </w:r>
            <w:proofErr w:type="spellEnd"/>
            <w:r>
              <w:rPr>
                <w:color w:val="1E1E1E"/>
                <w:sz w:val="19"/>
                <w:szCs w:val="19"/>
              </w:rPr>
              <w:t>/ folder for any future non-RVC trained model type Model Management (§6.8) may need to register.</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Responsibility</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 xml:space="preserve">Holds trained/registered model </w:t>
            </w:r>
            <w:proofErr w:type="spellStart"/>
            <w:r>
              <w:rPr>
                <w:color w:val="1E1E1E"/>
                <w:sz w:val="19"/>
                <w:szCs w:val="19"/>
              </w:rPr>
              <w:t>artifacts</w:t>
            </w:r>
            <w:proofErr w:type="spellEnd"/>
            <w:r>
              <w:rPr>
                <w:color w:val="1E1E1E"/>
                <w:sz w:val="19"/>
                <w:szCs w:val="19"/>
              </w:rPr>
              <w:t xml:space="preserve"> for e</w:t>
            </w:r>
            <w:r>
              <w:rPr>
                <w:color w:val="1E1E1E"/>
                <w:sz w:val="19"/>
                <w:szCs w:val="19"/>
              </w:rPr>
              <w:t>ngines other than RVC.</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Why Useful</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 xml:space="preserve">Prevents future non-RVC model types from being forced into a folder named for a different engine, without touching the existing </w:t>
            </w:r>
            <w:proofErr w:type="spellStart"/>
            <w:r>
              <w:rPr>
                <w:color w:val="1E1E1E"/>
                <w:sz w:val="19"/>
                <w:szCs w:val="19"/>
              </w:rPr>
              <w:t>rvc_models</w:t>
            </w:r>
            <w:proofErr w:type="spellEnd"/>
            <w:r>
              <w:rPr>
                <w:color w:val="1E1E1E"/>
                <w:sz w:val="19"/>
                <w:szCs w:val="19"/>
              </w:rPr>
              <w:t>/ folder or anything that reads from it.</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Why Non-Invasive</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 xml:space="preserve">Purely additive and empty until a future engine requiring it is introduced; </w:t>
            </w:r>
            <w:proofErr w:type="spellStart"/>
            <w:r>
              <w:rPr>
                <w:color w:val="1E1E1E"/>
                <w:sz w:val="19"/>
                <w:szCs w:val="19"/>
              </w:rPr>
              <w:t>rvc_models</w:t>
            </w:r>
            <w:proofErr w:type="spellEnd"/>
            <w:r>
              <w:rPr>
                <w:color w:val="1E1E1E"/>
                <w:sz w:val="19"/>
                <w:szCs w:val="19"/>
              </w:rPr>
              <w:t>/ remains the Model Store realization for RVC specifically, unchanged.</w:t>
            </w:r>
          </w:p>
        </w:tc>
      </w:tr>
    </w:tbl>
    <w:p w:rsidR="001E3785" w:rsidRDefault="00E75D8F">
      <w:pPr>
        <w:pStyle w:val="Heading3"/>
        <w:spacing w:before="240" w:after="100"/>
      </w:pPr>
      <w:r>
        <w:rPr>
          <w:b/>
          <w:bCs/>
          <w:color w:val="1E7B6E"/>
          <w:sz w:val="22"/>
          <w:szCs w:val="22"/>
        </w:rPr>
        <w:t>scripts/</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1600"/>
        <w:gridCol w:w="7760"/>
      </w:tblGrid>
      <w:tr w:rsidR="001E3785">
        <w:tblPrEx>
          <w:tblCellMar>
            <w:top w:w="0" w:type="dxa"/>
            <w:bottom w:w="0" w:type="dxa"/>
          </w:tblCellMar>
        </w:tblPrEx>
        <w:trPr>
          <w:tblHeader/>
        </w:trPr>
        <w:tc>
          <w:tcPr>
            <w:tcW w:w="160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Aspect</w:t>
            </w:r>
          </w:p>
        </w:tc>
        <w:tc>
          <w:tcPr>
            <w:tcW w:w="7760" w:type="dxa"/>
            <w:shd w:val="clear" w:color="auto" w:fill="1B2A4A"/>
            <w:tcMar>
              <w:top w:w="90" w:type="dxa"/>
              <w:left w:w="110" w:type="dxa"/>
              <w:bottom w:w="90" w:type="dxa"/>
              <w:right w:w="110" w:type="dxa"/>
            </w:tcMar>
            <w:vAlign w:val="center"/>
          </w:tcPr>
          <w:p w:rsidR="001E3785" w:rsidRDefault="00E75D8F">
            <w:pPr>
              <w:spacing w:line="250" w:lineRule="auto"/>
            </w:pPr>
            <w:r>
              <w:rPr>
                <w:b/>
                <w:bCs/>
                <w:color w:val="FFFFFF"/>
                <w:sz w:val="19"/>
                <w:szCs w:val="19"/>
              </w:rPr>
              <w:t>Detail</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Purpose</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Home for auxiliary operational scripts (e.g. maintenance, migration, or diagnostic utilities) that are not part of the application's runtime request path.</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Responsibility</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Holds standalone operational tooling only.</w:t>
            </w:r>
          </w:p>
        </w:tc>
      </w:tr>
      <w:tr w:rsidR="001E3785">
        <w:tblPrEx>
          <w:tblCellMar>
            <w:top w:w="0" w:type="dxa"/>
            <w:bottom w:w="0" w:type="dxa"/>
          </w:tblCellMar>
        </w:tblPrEx>
        <w:tc>
          <w:tcPr>
            <w:tcW w:w="1600" w:type="dxa"/>
            <w:tcMar>
              <w:top w:w="80" w:type="dxa"/>
              <w:left w:w="110" w:type="dxa"/>
              <w:bottom w:w="80" w:type="dxa"/>
              <w:right w:w="110" w:type="dxa"/>
            </w:tcMar>
            <w:vAlign w:val="center"/>
          </w:tcPr>
          <w:p w:rsidR="001E3785" w:rsidRDefault="00E75D8F">
            <w:pPr>
              <w:spacing w:line="250" w:lineRule="auto"/>
            </w:pPr>
            <w:r>
              <w:rPr>
                <w:color w:val="1E1E1E"/>
                <w:sz w:val="19"/>
                <w:szCs w:val="19"/>
              </w:rPr>
              <w:t>Why Useful</w:t>
            </w:r>
          </w:p>
        </w:tc>
        <w:tc>
          <w:tcPr>
            <w:tcW w:w="7760" w:type="dxa"/>
            <w:tcMar>
              <w:top w:w="80" w:type="dxa"/>
              <w:left w:w="110" w:type="dxa"/>
              <w:bottom w:w="80" w:type="dxa"/>
              <w:right w:w="110" w:type="dxa"/>
            </w:tcMar>
            <w:vAlign w:val="center"/>
          </w:tcPr>
          <w:p w:rsidR="001E3785" w:rsidRDefault="00E75D8F">
            <w:pPr>
              <w:spacing w:line="250" w:lineRule="auto"/>
            </w:pPr>
            <w:r>
              <w:rPr>
                <w:color w:val="1E1E1E"/>
                <w:sz w:val="19"/>
                <w:szCs w:val="19"/>
              </w:rPr>
              <w:t>Keeps future operational tooling separate from both the application's own code (app.py and friends) and from the host-level setup/launch scripts already in the project root, avoiding root-directory clutter as the project grows.</w:t>
            </w:r>
          </w:p>
        </w:tc>
      </w:tr>
      <w:tr w:rsidR="001E3785">
        <w:tblPrEx>
          <w:tblCellMar>
            <w:top w:w="0" w:type="dxa"/>
            <w:bottom w:w="0" w:type="dxa"/>
          </w:tblCellMar>
        </w:tblPrEx>
        <w:tc>
          <w:tcPr>
            <w:tcW w:w="160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Why Non-Invasive</w:t>
            </w:r>
          </w:p>
        </w:tc>
        <w:tc>
          <w:tcPr>
            <w:tcW w:w="7760" w:type="dxa"/>
            <w:shd w:val="clear" w:color="auto" w:fill="F5F7FA"/>
            <w:tcMar>
              <w:top w:w="80" w:type="dxa"/>
              <w:left w:w="110" w:type="dxa"/>
              <w:bottom w:w="80" w:type="dxa"/>
              <w:right w:w="110" w:type="dxa"/>
            </w:tcMar>
            <w:vAlign w:val="center"/>
          </w:tcPr>
          <w:p w:rsidR="001E3785" w:rsidRDefault="00E75D8F">
            <w:pPr>
              <w:spacing w:line="250" w:lineRule="auto"/>
            </w:pPr>
            <w:r>
              <w:rPr>
                <w:color w:val="1E1E1E"/>
                <w:sz w:val="19"/>
                <w:szCs w:val="19"/>
              </w:rPr>
              <w:t xml:space="preserve">Additive; </w:t>
            </w:r>
            <w:r>
              <w:rPr>
                <w:color w:val="1E1E1E"/>
                <w:sz w:val="19"/>
                <w:szCs w:val="19"/>
              </w:rPr>
              <w:t>the existing root-level setup.bat and run_all.bat remain exactly where they are and are not required to move here.</w:t>
            </w:r>
          </w:p>
        </w:tc>
      </w:tr>
    </w:tbl>
    <w:p w:rsidR="001E3785" w:rsidRDefault="00E75D8F">
      <w:pPr>
        <w:pStyle w:val="Heading2"/>
        <w:spacing w:before="320" w:after="140"/>
      </w:pPr>
      <w:r>
        <w:rPr>
          <w:b/>
          <w:bCs/>
          <w:color w:val="2E6E8E"/>
          <w:sz w:val="25"/>
          <w:szCs w:val="25"/>
        </w:rPr>
        <w:t>23.5 Compatibility with the Existing Archive</w:t>
      </w:r>
    </w:p>
    <w:p w:rsidR="001E3785" w:rsidRDefault="00E75D8F">
      <w:pPr>
        <w:spacing w:after="160" w:line="276" w:lineRule="auto"/>
      </w:pPr>
      <w:r>
        <w:rPr>
          <w:color w:val="222222"/>
        </w:rPr>
        <w:t>Every extension proposed in §23.4 is a new, empty-by-default top-level folder. None requires any existing file to be renamed, moved, merged, or removed; none requires any existing script's invocation path to change; and none is required for the existing ap</w:t>
      </w:r>
      <w:r>
        <w:rPr>
          <w:color w:val="222222"/>
        </w:rPr>
        <w:t>plication to continue running exactly as it does today. Adoption of any individual extension is independent of the others — for example, adding tests/ carries no dependency on first adding monitoring/. This satisfies the engagement's compatibility requirem</w:t>
      </w:r>
      <w:r>
        <w:rPr>
          <w:color w:val="222222"/>
        </w:rPr>
        <w:t>ent: the existing ZIP archive, extracted as-is, remains a complete and correct realization of everything this document defines as “existing,” with every extension in §23.4 available to be adopted incrementally.</w:t>
      </w:r>
    </w:p>
    <w:sectPr w:rsidR="001E3785">
      <w:headerReference w:type="default" r:id="rId8"/>
      <w:footerReference w:type="default" r:id="rId9"/>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75D8F" w:rsidRDefault="00E75D8F">
      <w:r>
        <w:separator/>
      </w:r>
    </w:p>
  </w:endnote>
  <w:endnote w:type="continuationSeparator" w:id="0">
    <w:p w:rsidR="00E75D8F" w:rsidRDefault="00E75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785" w:rsidRDefault="00E75D8F">
    <w:pPr>
      <w:pBdr>
        <w:top w:val="single" w:sz="4" w:space="4" w:color="C9CFD6"/>
      </w:pBdr>
      <w:jc w:val="center"/>
    </w:pPr>
    <w:proofErr w:type="spellStart"/>
    <w:r>
      <w:rPr>
        <w:color w:val="5A6470"/>
        <w:sz w:val="15"/>
        <w:szCs w:val="15"/>
      </w:rPr>
      <w:t>Zenvyrolabs</w:t>
    </w:r>
    <w:proofErr w:type="spellEnd"/>
    <w:r>
      <w:rPr>
        <w:color w:val="5A6470"/>
        <w:sz w:val="15"/>
        <w:szCs w:val="15"/>
      </w:rPr>
      <w:t xml:space="preserve"> Advanced Voice Studio — System Design Document (Stage 2)   |   Page </w:t>
    </w:r>
    <w:r>
      <w:rPr>
        <w:color w:val="5A6470"/>
        <w:sz w:val="15"/>
        <w:szCs w:val="15"/>
      </w:rPr>
      <w:fldChar w:fldCharType="begin"/>
    </w:r>
    <w:r>
      <w:rPr>
        <w:color w:val="5A6470"/>
        <w:sz w:val="15"/>
        <w:szCs w:val="15"/>
      </w:rPr>
      <w:instrText>PAGE</w:instrText>
    </w:r>
    <w:r w:rsidR="00815F76">
      <w:rPr>
        <w:color w:val="5A6470"/>
        <w:sz w:val="15"/>
        <w:szCs w:val="15"/>
      </w:rPr>
      <w:fldChar w:fldCharType="separate"/>
    </w:r>
    <w:r w:rsidR="00815F76">
      <w:rPr>
        <w:noProof/>
        <w:color w:val="5A6470"/>
        <w:sz w:val="15"/>
        <w:szCs w:val="15"/>
      </w:rPr>
      <w:t>1</w:t>
    </w:r>
    <w:r>
      <w:rPr>
        <w:color w:val="5A6470"/>
        <w:sz w:val="15"/>
        <w:szCs w:val="15"/>
      </w:rPr>
      <w:fldChar w:fldCharType="end"/>
    </w:r>
    <w:r>
      <w:rPr>
        <w:color w:val="5A6470"/>
        <w:sz w:val="15"/>
        <w:szCs w:val="15"/>
      </w:rPr>
      <w:t xml:space="preserve"> of </w:t>
    </w:r>
    <w:r>
      <w:rPr>
        <w:color w:val="5A6470"/>
        <w:sz w:val="15"/>
        <w:szCs w:val="15"/>
      </w:rPr>
      <w:fldChar w:fldCharType="begin"/>
    </w:r>
    <w:r>
      <w:rPr>
        <w:color w:val="5A6470"/>
        <w:sz w:val="15"/>
        <w:szCs w:val="15"/>
      </w:rPr>
      <w:instrText>NUMPAGES</w:instrText>
    </w:r>
    <w:r w:rsidR="00815F76">
      <w:rPr>
        <w:color w:val="5A6470"/>
        <w:sz w:val="15"/>
        <w:szCs w:val="15"/>
      </w:rPr>
      <w:fldChar w:fldCharType="separate"/>
    </w:r>
    <w:r w:rsidR="00815F76">
      <w:rPr>
        <w:noProof/>
        <w:color w:val="5A6470"/>
        <w:sz w:val="15"/>
        <w:szCs w:val="15"/>
      </w:rPr>
      <w:t>1</w:t>
    </w:r>
    <w:r>
      <w:rPr>
        <w:color w:val="5A647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75D8F" w:rsidRDefault="00E75D8F">
      <w:r>
        <w:separator/>
      </w:r>
    </w:p>
  </w:footnote>
  <w:footnote w:type="continuationSeparator" w:id="0">
    <w:p w:rsidR="00E75D8F" w:rsidRDefault="00E75D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3785" w:rsidRDefault="00E75D8F">
    <w:pPr>
      <w:jc w:val="right"/>
    </w:pPr>
    <w:r>
      <w:rPr>
        <w:i/>
        <w:iCs/>
        <w:color w:val="5A6470"/>
        <w:sz w:val="15"/>
        <w:szCs w:val="15"/>
      </w:rPr>
      <w:t>DESIGN DOCUMENT — No Implementation Included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2B02E2"/>
    <w:multiLevelType w:val="hybridMultilevel"/>
    <w:tmpl w:val="8EFE12CE"/>
    <w:lvl w:ilvl="0" w:tplc="E4589A7E">
      <w:start w:val="1"/>
      <w:numFmt w:val="bullet"/>
      <w:lvlText w:val="•"/>
      <w:lvlJc w:val="left"/>
      <w:pPr>
        <w:ind w:left="720" w:hanging="360"/>
      </w:pPr>
    </w:lvl>
    <w:lvl w:ilvl="1" w:tplc="82CE8174">
      <w:start w:val="1"/>
      <w:numFmt w:val="bullet"/>
      <w:lvlText w:val="◦"/>
      <w:lvlJc w:val="left"/>
      <w:pPr>
        <w:ind w:left="1080" w:hanging="360"/>
      </w:pPr>
    </w:lvl>
    <w:lvl w:ilvl="2" w:tplc="D8943944">
      <w:numFmt w:val="decimal"/>
      <w:lvlText w:val=""/>
      <w:lvlJc w:val="left"/>
    </w:lvl>
    <w:lvl w:ilvl="3" w:tplc="53E86A66">
      <w:numFmt w:val="decimal"/>
      <w:lvlText w:val=""/>
      <w:lvlJc w:val="left"/>
    </w:lvl>
    <w:lvl w:ilvl="4" w:tplc="2F06801E">
      <w:numFmt w:val="decimal"/>
      <w:lvlText w:val=""/>
      <w:lvlJc w:val="left"/>
    </w:lvl>
    <w:lvl w:ilvl="5" w:tplc="930A695C">
      <w:numFmt w:val="decimal"/>
      <w:lvlText w:val=""/>
      <w:lvlJc w:val="left"/>
    </w:lvl>
    <w:lvl w:ilvl="6" w:tplc="5148C6EC">
      <w:numFmt w:val="decimal"/>
      <w:lvlText w:val=""/>
      <w:lvlJc w:val="left"/>
    </w:lvl>
    <w:lvl w:ilvl="7" w:tplc="FE00EB0E">
      <w:numFmt w:val="decimal"/>
      <w:lvlText w:val=""/>
      <w:lvlJc w:val="left"/>
    </w:lvl>
    <w:lvl w:ilvl="8" w:tplc="3DE6F6E0">
      <w:numFmt w:val="decimal"/>
      <w:lvlText w:val=""/>
      <w:lvlJc w:val="left"/>
    </w:lvl>
  </w:abstractNum>
  <w:abstractNum w:abstractNumId="1" w15:restartNumberingAfterBreak="0">
    <w:nsid w:val="5BBE42B4"/>
    <w:multiLevelType w:val="hybridMultilevel"/>
    <w:tmpl w:val="5F1E70AC"/>
    <w:lvl w:ilvl="0" w:tplc="F75AD25C">
      <w:start w:val="1"/>
      <w:numFmt w:val="bullet"/>
      <w:lvlText w:val="●"/>
      <w:lvlJc w:val="left"/>
      <w:pPr>
        <w:ind w:left="720" w:hanging="360"/>
      </w:pPr>
    </w:lvl>
    <w:lvl w:ilvl="1" w:tplc="926E2C2A">
      <w:start w:val="1"/>
      <w:numFmt w:val="bullet"/>
      <w:lvlText w:val="○"/>
      <w:lvlJc w:val="left"/>
      <w:pPr>
        <w:ind w:left="1440" w:hanging="360"/>
      </w:pPr>
    </w:lvl>
    <w:lvl w:ilvl="2" w:tplc="D1F4029C">
      <w:start w:val="1"/>
      <w:numFmt w:val="bullet"/>
      <w:lvlText w:val="■"/>
      <w:lvlJc w:val="left"/>
      <w:pPr>
        <w:ind w:left="2160" w:hanging="360"/>
      </w:pPr>
    </w:lvl>
    <w:lvl w:ilvl="3" w:tplc="780028D4">
      <w:start w:val="1"/>
      <w:numFmt w:val="bullet"/>
      <w:lvlText w:val="●"/>
      <w:lvlJc w:val="left"/>
      <w:pPr>
        <w:ind w:left="2880" w:hanging="360"/>
      </w:pPr>
    </w:lvl>
    <w:lvl w:ilvl="4" w:tplc="C4464DD0">
      <w:start w:val="1"/>
      <w:numFmt w:val="bullet"/>
      <w:lvlText w:val="○"/>
      <w:lvlJc w:val="left"/>
      <w:pPr>
        <w:ind w:left="3600" w:hanging="360"/>
      </w:pPr>
    </w:lvl>
    <w:lvl w:ilvl="5" w:tplc="8B74669C">
      <w:start w:val="1"/>
      <w:numFmt w:val="bullet"/>
      <w:lvlText w:val="■"/>
      <w:lvlJc w:val="left"/>
      <w:pPr>
        <w:ind w:left="4320" w:hanging="360"/>
      </w:pPr>
    </w:lvl>
    <w:lvl w:ilvl="6" w:tplc="E6DE8E32">
      <w:start w:val="1"/>
      <w:numFmt w:val="bullet"/>
      <w:lvlText w:val="●"/>
      <w:lvlJc w:val="left"/>
      <w:pPr>
        <w:ind w:left="5040" w:hanging="360"/>
      </w:pPr>
    </w:lvl>
    <w:lvl w:ilvl="7" w:tplc="AF2E16AE">
      <w:start w:val="1"/>
      <w:numFmt w:val="bullet"/>
      <w:lvlText w:val="●"/>
      <w:lvlJc w:val="left"/>
      <w:pPr>
        <w:ind w:left="5760" w:hanging="360"/>
      </w:pPr>
    </w:lvl>
    <w:lvl w:ilvl="8" w:tplc="86642FB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785"/>
    <w:rsid w:val="001E3785"/>
    <w:rsid w:val="00815F76"/>
    <w:rsid w:val="00E75D8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42FBC"/>
  <w15:docId w15:val="{A5E06A51-A3BF-4A38-B15D-35F9DD7E7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PK" w:eastAsia="en-PK"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12117</Words>
  <Characters>69072</Characters>
  <Application>Microsoft Office Word</Application>
  <DocSecurity>0</DocSecurity>
  <Lines>575</Lines>
  <Paragraphs>162</Paragraphs>
  <ScaleCrop>false</ScaleCrop>
  <Company/>
  <LinksUpToDate>false</LinksUpToDate>
  <CharactersWithSpaces>81027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Zenvyrolabs Advanced Voice Studio — System Design Document</dc:title>
  <dc:creator>Independent Engineering Review</dc:creator>
  <dc:description>Stage 2 System Design Document: layered architecture, components, workflows, and enterprise design decisions.</dc:description>
  <cp:lastModifiedBy>Admin</cp:lastModifiedBy>
  <cp:revision>2</cp:revision>
  <dcterms:created xsi:type="dcterms:W3CDTF">2026-07-23T10:58:00Z</dcterms:created>
  <dcterms:modified xsi:type="dcterms:W3CDTF">2026-07-28T08:11:00Z</dcterms:modified>
</cp:coreProperties>
</file>