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00" w:before="2268" w:after="283"/>
        <w:ind w:hanging="0" w:start="0" w:end="0"/>
        <w:jc w:val="center"/>
        <w:rPr/>
      </w:pPr>
      <w:r>
        <w:rPr>
          <w:rStyle w:val="Strong"/>
        </w:rPr>
        <w:t>MetaSpend</w:t>
      </w:r>
    </w:p>
    <w:p>
      <w:pPr>
        <w:pStyle w:val="BodyText"/>
        <w:bidi w:val="0"/>
        <w:spacing w:lineRule="auto" w:line="300" w:before="2268" w:after="283"/>
        <w:ind w:hanging="0" w:start="0" w:end="0"/>
        <w:jc w:val="center"/>
        <w:rPr/>
      </w:pPr>
      <w:r>
        <w:rPr/>
        <w:t>System wizualizacji i analizy transakcji MetaMask Card</w:t>
      </w:r>
    </w:p>
    <w:p>
      <w:pPr>
        <w:pStyle w:val="BodyText"/>
        <w:bidi w:val="0"/>
        <w:spacing w:before="2268" w:after="283"/>
        <w:jc w:val="center"/>
        <w:rPr/>
      </w:pPr>
      <w:r>
        <w:rPr/>
        <w:t>Artem Zakharov</w:t>
      </w:r>
    </w:p>
    <w:p>
      <w:pPr>
        <w:pStyle w:val="BodyText"/>
        <w:bidi w:val="0"/>
        <w:spacing w:before="2268" w:after="283"/>
        <w:ind w:hanging="0" w:start="0" w:end="1134"/>
        <w:jc w:val="center"/>
        <w:rPr/>
      </w:pPr>
      <w:r>
        <w:rPr/>
        <w:tab/>
        <w:t>Przedmiot: Systemowe Projektowanie</w:t>
      </w:r>
    </w:p>
    <w:p>
      <w:pPr>
        <w:pStyle w:val="BodyText"/>
        <w:bidi w:val="0"/>
        <w:spacing w:before="2268" w:after="283"/>
        <w:jc w:val="center"/>
        <w:rPr/>
      </w:pPr>
      <w:r>
        <w:rPr/>
        <w:t>Grupa: A1</w:t>
      </w:r>
    </w:p>
    <w:p>
      <w:pPr>
        <w:pStyle w:val="BodyText"/>
        <w:bidi w:val="0"/>
        <w:spacing w:before="2268" w:after="283"/>
        <w:jc w:val="center"/>
        <w:rPr/>
      </w:pPr>
      <w:r>
        <w:rPr/>
        <w:t>Rok akademicki: 2025/2026</w:t>
      </w:r>
    </w:p>
    <w:p>
      <w:pPr>
        <w:pStyle w:val="Heading1"/>
        <w:bidi w:val="0"/>
        <w:jc w:val="center"/>
        <w:rPr/>
      </w:pPr>
      <w:r>
        <w:rPr/>
        <w:t>1. Cel projektu</w:t>
      </w:r>
    </w:p>
    <w:p>
      <w:pPr>
        <w:pStyle w:val="BodyText"/>
        <w:bidi w:val="0"/>
        <w:spacing w:before="0" w:after="283"/>
        <w:jc w:val="start"/>
        <w:rPr/>
      </w:pPr>
      <w:r>
        <w:rPr/>
        <w:t>Celem projektu jest stworzenie funkcjonalnego oprogramowania umożliwiającego użytkownikom kart MetaMask Card śledzenie wydatków w sposób zbliżony do tradycyjnych aplikacji bankowych. Transakcje kryptowalutowe prezentowane w portfelu MetaMask są trudne do analizy pod kątem codziennych wydatków — brakuje kategoryzacji, podsumowań miesięcznych oraz przejrzystych wykresów.</w:t>
      </w:r>
    </w:p>
    <w:p>
      <w:pPr>
        <w:pStyle w:val="BodyText"/>
        <w:bidi w:val="0"/>
        <w:spacing w:before="0" w:after="283"/>
        <w:jc w:val="start"/>
        <w:rPr/>
      </w:pPr>
      <w:r>
        <w:rPr/>
        <w:t>CryptoTrack rozwiązuje ten problem poprzez: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synchronizację historii transakcji z panelu MetaMask Card (rozszerzenie Chrome),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przechowywanie i normalizację danych w centralnej bazie PostgreSQL,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ręczną i automatyczną (AI) kategoryzację wydatków według kategorii i podkategorii,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dashboard, listę transakcji oraz moduł analityki z wykresami i porównaniem okresów. </w:t>
      </w:r>
    </w:p>
    <w:p>
      <w:pPr>
        <w:pStyle w:val="BodyText"/>
        <w:bidi w:val="0"/>
        <w:spacing w:before="0" w:after="283"/>
        <w:jc w:val="start"/>
        <w:rPr/>
      </w:pPr>
      <w:r>
        <w:rPr/>
        <w:t>Ostatecznym efektem jest podniesienie świadomości finansowej użytkownika Web3 oraz ułatwienie kontroli budżetu opartego na wydatkach kartą.</w:t>
      </w:r>
    </w:p>
    <w:p>
      <w:pPr>
        <w:pStyle w:val="Heading1"/>
        <w:bidi w:val="0"/>
        <w:jc w:val="center"/>
        <w:rPr/>
      </w:pPr>
      <w:r>
        <w:rPr/>
        <w:t>2. Szczegółowy opis wymagań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2.1. Wymagania funkcjonalne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Obsługa kont użytkowników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Rejestracja i logowanie za pomocą adresu e-mail i hasła (JWT + sesje odświeżania).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Opcjonalne logowanie portfelem Web3 (SIWE — Sign-In with Ethereum).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Profil użytkownika: wyświetlana nazwa, powiązany adres portfela (PortfolioAccount).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Synchronizacja transakcji MetaMask Card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Rozszerzenie Chrome (Plasmo) pobiera listę transakcji ze stron card.metamask.io / portfolio.metamask.io.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Parowanie rozszerzenia z kontem użytkownika kodem 6-cyfrowym wygenerowanym w ustawieniach aplikacji web.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Endpoint REST </w:t>
      </w:r>
      <w:r>
        <w:rPr>
          <w:rStyle w:val="SourceText"/>
        </w:rPr>
        <w:t>POST /api/v1/card-transactions/sync</w:t>
      </w:r>
      <w:r>
        <w:rPr/>
        <w:t xml:space="preserve"> — upsert transakcji po </w:t>
      </w:r>
      <w:r>
        <w:rPr>
          <w:rStyle w:val="SourceText"/>
        </w:rPr>
        <w:t>externalId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Zapisywane pola: merchant, kwota fiat/crypto, status (PENDING, SETTLED, DECLINED, REFUNDED), znacznik czasu.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Zarządzanie transakcjami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Lista transakcji z filtrowaniem po dacie, kategorii, merchantcie, statusie.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Ręczna edycja kategorii, podkategorii i notatek dla pojedynczej transakcji.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>Statystyki zbiorcze: sumy wydatków, rozkład po kategoriach (</w:t>
      </w:r>
      <w:r>
        <w:rPr>
          <w:rStyle w:val="SourceText"/>
        </w:rPr>
        <w:t>GET /transactions/stats</w:t>
      </w:r>
      <w:r>
        <w:rPr/>
        <w:t xml:space="preserve">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Kategorie i podkategorie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CRUD kategorii użytkownika (nazwa, kolor, ikona).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Hierarchia parent → subcategory (np. „Jedzenie” → „Restauracje”).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Kategorie systemowe (seed) oraz domyślne podkategorie.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Strona „Categorize spendings” — masowa kategoryzacja merchantów.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Automatyczna kategoryzacja (pamięć merchantów + reguły + AI)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Model </w:t>
      </w:r>
      <w:r>
        <w:rPr>
          <w:rStyle w:val="SourceText"/>
        </w:rPr>
        <w:t>CardMerchantMemory</w:t>
      </w:r>
      <w:r>
        <w:rPr/>
        <w:t xml:space="preserve"> — zapamiętanie mapowania merchantKey → kategoria po potwierdzeniu użytkownika lub AI.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Reguły dopasowania merchantów (</w:t>
      </w:r>
      <w:r>
        <w:rPr>
          <w:rStyle w:val="SourceText"/>
        </w:rPr>
        <w:t>firstMatchingCategoryId</w:t>
      </w:r>
      <w:r>
        <w:rPr/>
        <w:t xml:space="preserve">, </w:t>
      </w:r>
      <w:r>
        <w:rPr>
          <w:rStyle w:val="SourceText"/>
        </w:rPr>
        <w:t>packages/shared/src/merchant-rules/match.ts</w:t>
      </w:r>
      <w:r>
        <w:rPr/>
        <w:t xml:space="preserve">) — proste dopasowanie „nazwa merchanta zawiera X”, pierwsza trafiona reguła wygrywa; uruchamiane po pamięci merchantów i przed AI.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Usługa OpenAI przypisuje kategorię nieznanym merchantom (</w:t>
      </w:r>
      <w:r>
        <w:rPr>
          <w:rStyle w:val="SourceText"/>
        </w:rPr>
        <w:t>bulk-categorize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Śledzenie przebiegu w </w:t>
      </w:r>
      <w:r>
        <w:rPr>
          <w:rStyle w:val="SourceText"/>
        </w:rPr>
        <w:t>CardCategorizationRun</w:t>
      </w:r>
      <w:r>
        <w:rPr/>
        <w:t xml:space="preserve"> (status, liczniki dopasowań).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Analityka i wykresy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Strona Analytics: wykresy wydatków w czasie, rozkład kategorii, porównanie okresów.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Biblioteki: Recharts, agregacja po stronie API.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Filtr zakresu dat (DateRangePicker).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Dashboard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Podsumowanie ostatnich transakcji, saldo karty (snapshot z rozszerzenia), szybki wgląd w wydatki.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Podróże (Trips) — wielowalutowe zestawienia wydatków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Grupowanie transakcji w podróże (model </w:t>
      </w:r>
      <w:r>
        <w:rPr>
          <w:rStyle w:val="SourceText"/>
        </w:rPr>
        <w:t>Trip</w:t>
      </w:r>
      <w:r>
        <w:rPr/>
        <w:t xml:space="preserve"> ↔ </w:t>
      </w:r>
      <w:r>
        <w:rPr>
          <w:rStyle w:val="SourceText"/>
        </w:rPr>
        <w:t>TripTransaction</w:t>
      </w:r>
      <w:r>
        <w:rPr/>
        <w:t xml:space="preserve">, relacja N:N); nazwa, daty rozpoczęcia/zakończenia i domyślna waluta podróży.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Waluta podróży wybierana automatycznie przy tworzeniu (najczęstsza, a przy remisie — najwyższa sumą walut transakcji); użytkownik może ją później zmienić z listy (EUR/PLN/USD/GBP/CHF).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>Widok szczegółów podróży: suma w walucie natywnej każdej transakcji (</w:t>
      </w:r>
      <w:r>
        <w:rPr>
          <w:rStyle w:val="SourceText"/>
        </w:rPr>
        <w:t>totalsByCurrency</w:t>
      </w:r>
      <w:r>
        <w:rPr/>
        <w:t>) oraz suma i rozkład po kategoriach przeliczone na walutę podróży (</w:t>
      </w:r>
      <w:r>
        <w:rPr>
          <w:rStyle w:val="SourceText"/>
        </w:rPr>
        <w:t>convertedTotal</w:t>
      </w:r>
      <w:r>
        <w:rPr/>
        <w:t xml:space="preserve">, </w:t>
      </w:r>
      <w:r>
        <w:rPr>
          <w:rStyle w:val="SourceText"/>
        </w:rPr>
        <w:t>categoryBreakdown</w:t>
      </w:r>
      <w:r>
        <w:rPr/>
        <w:t xml:space="preserve">) wg kursów z frankfurter.app (cache ~24h, z degradacją do kursu 1:1 przy niedostępności API).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2.2. Wymagania niefunkcjonalne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Łatwość użycia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Responsywny interfejs (Next.js 15, React 19, Tailwind CSS, shadcn/ui).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Sidebar nawigacyjny: Dashboard, Transactions, Categories, Settings; widok mobilny z menu.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Tryb jasny/ciemny (ThemeSwitcher).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Niezawodność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Monorepo (pnpm, Turbo): spójne typy w pakiecie </w:t>
      </w:r>
      <w:r>
        <w:rPr>
          <w:rStyle w:val="SourceText"/>
        </w:rPr>
        <w:t>@crypto-tracker/shared</w:t>
      </w:r>
      <w:r>
        <w:rPr/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Walidacja DTO (class-validator) i obsługa błędów HTTP w NestJS.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Testy jednostkowe usług API (Jest).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Wydajność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PostgreSQL z indeksami na </w:t>
      </w:r>
      <w:r>
        <w:rPr>
          <w:rStyle w:val="SourceText"/>
        </w:rPr>
        <w:t>userId</w:t>
      </w:r>
      <w:r>
        <w:rPr/>
        <w:t xml:space="preserve">, </w:t>
      </w:r>
      <w:r>
        <w:rPr>
          <w:rStyle w:val="SourceText"/>
        </w:rPr>
        <w:t>timestamp</w:t>
      </w:r>
      <w:r>
        <w:rPr/>
        <w:t xml:space="preserve">, </w:t>
      </w:r>
      <w:r>
        <w:rPr>
          <w:rStyle w:val="SourceText"/>
        </w:rPr>
        <w:t>categoryId</w:t>
      </w:r>
      <w:r>
        <w:rPr/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Paginacja list transakcji; agregacje statystyk po stronie serwera.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Bezpieczeństwo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Hasła hashowane (bcrypt); tokeny JWT krótkotrwałe + refresh w bazie (hash).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Tokeny rozszerzenia przechowywane jako hash (</w:t>
      </w:r>
      <w:r>
        <w:rPr>
          <w:rStyle w:val="SourceText"/>
        </w:rPr>
        <w:t>ExtensionToken</w:t>
      </w:r>
      <w:r>
        <w:rPr/>
        <w:t xml:space="preserve">).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CORS i guardy autoryzacji na endpointach chronionych.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TLS w środowisku produkcyjnym (HTTPS). </w:t>
      </w:r>
    </w:p>
    <w:p>
      <w:pPr>
        <w:pStyle w:val="Heading1"/>
        <w:bidi w:val="0"/>
        <w:jc w:val="center"/>
        <w:rPr/>
      </w:pPr>
      <w:r>
        <w:rPr/>
        <w:t>3. Ograniczenia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3.1. Ograniczenia technologiczne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Wymagane połączenie sieciowe do synchronizacji z API oraz (przy kategoryzacji AI) do OpenAI.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Rozszerzenie działa tylko w przeglądarce Chrome/Chromium z uprawnieniami do domen MetaMask.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Źródło danych ograniczone do transakcji MetaMask Card (nie pełna historia on-chain wszystkich sieci).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3.2. Ograniczenia zakresu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Brak wieloużytkownikowych zespołów i ról menedżerskich (aplikacja single-user per konto).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Brak integracji z systemami płatności fiat poza danymi z karty MetaMask.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3.3. Ograniczenia czasowe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Projekt realizowany w ramach roku akademickiego 2025/2026. </w:t>
      </w:r>
    </w:p>
    <w:p>
      <w:pPr>
        <w:pStyle w:val="Heading1"/>
        <w:bidi w:val="0"/>
        <w:jc w:val="center"/>
        <w:rPr/>
      </w:pPr>
      <w:r>
        <w:rPr/>
        <w:t>4. Użytkownicy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4.1. Kluczowy użytkownik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Użytkownik karty MetaMask (właściciel konta)</w:t>
      </w:r>
      <w:r>
        <w:rPr/>
        <w:t xml:space="preserve"> — rejestruje się, paruje rozszerzenie, synchronizuje transakcje, zarządza kategoriami, przegląda analitykę i edytuje przypisania.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4.2. Użytkownicy techniczni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Administrator wdrożenia</w:t>
      </w:r>
      <w:r>
        <w:rPr/>
        <w:t xml:space="preserve"> — utrzymuje PostgreSQL, zmienne środowiskowe (DATABASE_URL, JWT_SECRET, OPENAI_API_KEY), deployment Docker.</w:t>
      </w:r>
    </w:p>
    <w:p>
      <w:pPr>
        <w:pStyle w:val="Heading1"/>
        <w:bidi w:val="0"/>
        <w:jc w:val="center"/>
        <w:rPr/>
      </w:pPr>
      <w:r>
        <w:rPr/>
        <w:t>5. Nazewnictwo i definicje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Użytkownik</w:t>
      </w:r>
      <w:r>
        <w:rPr/>
        <w:t xml:space="preserve"> — osoba posiadająca konto w systemie CryptoTrack.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Transakcja karty</w:t>
      </w:r>
      <w:r>
        <w:rPr/>
        <w:t xml:space="preserve"> — operacja zarejestrowana na koncie MetaMask Card (merchant, kwota, status).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Merchant</w:t>
      </w:r>
      <w:r>
        <w:rPr/>
        <w:t xml:space="preserve"> — nazwa punktu handlowego (znormalizowany klucz </w:t>
      </w:r>
      <w:r>
        <w:rPr>
          <w:rStyle w:val="SourceText"/>
        </w:rPr>
        <w:t>merchantKey</w:t>
      </w:r>
      <w:r>
        <w:rPr/>
        <w:t xml:space="preserve">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Kategoria / podkategoria</w:t>
      </w:r>
      <w:r>
        <w:rPr/>
        <w:t xml:space="preserve"> — etykieta klasyfikacji wydatku (hierarchia drzewiasta).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Pamięć merchantów (CardMerchantMemory)</w:t>
      </w:r>
      <w:r>
        <w:rPr/>
        <w:t xml:space="preserve"> — trwałe mapowanie merchant → kategoria.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Rozszerzenie Chrome</w:t>
      </w:r>
      <w:r>
        <w:rPr/>
        <w:t xml:space="preserve"> — moduł Plasmo scrapujący HTML listy transakcji MetaMask.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SIWE</w:t>
      </w:r>
      <w:r>
        <w:rPr/>
        <w:t xml:space="preserve"> — Sign-In with Ethereum; logowanie podpisem portfela.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>
          <w:rStyle w:val="Strong"/>
        </w:rPr>
        <w:t>JWT</w:t>
      </w:r>
      <w:r>
        <w:rPr/>
        <w:t xml:space="preserve"> — JSON Web Token używany do autoryzacji żądań API. </w:t>
      </w:r>
    </w:p>
    <w:p>
      <w:pPr>
        <w:pStyle w:val="Heading1"/>
        <w:bidi w:val="0"/>
        <w:jc w:val="center"/>
        <w:rPr/>
      </w:pPr>
      <w:r>
        <w:rPr/>
        <w:t>6. Diagram przypadków użycia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1808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18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283"/>
        <w:jc w:val="start"/>
        <w:rPr/>
      </w:pPr>
      <w:r>
        <w:rPr/>
        <w:t>Diagram obejmuje aktorów: Użytkownik, Rozszerzenie Chrome oraz przypadki: rejestracja, SIWE, synchronizacja, przeglądanie transakcji, kategorie, kategoryzacja AI, analityka, parowanie rozszerzenia.</w:t>
      </w:r>
    </w:p>
    <w:p>
      <w:pPr>
        <w:pStyle w:val="Heading1"/>
        <w:bidi w:val="0"/>
        <w:jc w:val="center"/>
        <w:rPr/>
      </w:pPr>
      <w:r>
        <w:rPr/>
        <w:t>7. Scenariusze przypadków użycia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7.1. Rejestracja nowego użytkownika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322"/>
        <w:gridCol w:w="5883"/>
      </w:tblGrid>
      <w:tr>
        <w:trPr/>
        <w:tc>
          <w:tcPr>
            <w:tcW w:w="43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58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58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Rejestracja nowego użytkownika</w:t>
            </w:r>
          </w:p>
        </w:tc>
      </w:tr>
      <w:tr>
        <w:trPr/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Cel</w:t>
            </w:r>
          </w:p>
        </w:tc>
        <w:tc>
          <w:tcPr>
            <w:tcW w:w="58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Utworzenie konta w systemie CryptoTrack</w:t>
            </w:r>
          </w:p>
        </w:tc>
      </w:tr>
      <w:tr>
        <w:trPr/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58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 nie jest zalogowany; e-mail nie jest zajęty</w:t>
            </w:r>
          </w:p>
        </w:tc>
      </w:tr>
      <w:tr>
        <w:trPr/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58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Konto utworzone, możliwe logowanie</w:t>
            </w:r>
          </w:p>
        </w:tc>
      </w:tr>
      <w:tr>
        <w:trPr/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Stan końcowy — niepowodzenie</w:t>
            </w:r>
          </w:p>
        </w:tc>
        <w:tc>
          <w:tcPr>
            <w:tcW w:w="58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Komunikat błędu (np. zajęty e-mail, słabe hasło)</w:t>
            </w:r>
          </w:p>
        </w:tc>
      </w:tr>
      <w:tr>
        <w:trPr/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Główni aktorzy</w:t>
            </w:r>
          </w:p>
        </w:tc>
        <w:tc>
          <w:tcPr>
            <w:tcW w:w="58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</w:t>
            </w:r>
          </w:p>
        </w:tc>
      </w:tr>
      <w:tr>
        <w:trPr/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Wywołanie</w:t>
            </w:r>
          </w:p>
        </w:tc>
        <w:tc>
          <w:tcPr>
            <w:tcW w:w="58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Wejście na /auth/login → „Zarejestruj się”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Główny przepływ: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formularz rejestracji.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Wprowadza e-mail, hasło, opcjonalnie nazwę wyświetlaną.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System waliduje dane i zapisuje użytkownika w tabeli </w:t>
      </w:r>
      <w:r>
        <w:rPr>
          <w:rStyle w:val="SourceText"/>
        </w:rPr>
        <w:t>users</w:t>
      </w:r>
      <w:r>
        <w:rPr/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Użytkownik zostaje przekierowany do logowania lub automatycznie otrzymuje tokeny.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7.2. Parowanie rozszerzenia Chrome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488"/>
        <w:gridCol w:w="5717"/>
      </w:tblGrid>
      <w:tr>
        <w:trPr/>
        <w:tc>
          <w:tcPr>
            <w:tcW w:w="44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Parowanie rozszerzenia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Cel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Powiązanie rozszerzenia z kontem użytkownika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 zalogowany w aplikacji web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Token rozszerzenia zapisany w chrome.storage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Główny przepływ: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 Settings użytkownik generuje 6-cyfrowy kod parowania.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 popup rozszerzenia wpisuje kod i klika Connect.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>API weryfikuje kod (</w:t>
      </w:r>
      <w:r>
        <w:rPr>
          <w:rStyle w:val="SourceText"/>
        </w:rPr>
        <w:t>POST /auth/extension/pair</w:t>
      </w:r>
      <w:r>
        <w:rPr/>
        <w:t xml:space="preserve">) i zwraca bearer token.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7.3. Synchronizacja transakcji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75"/>
        <w:gridCol w:w="6230"/>
      </w:tblGrid>
      <w:tr>
        <w:trPr/>
        <w:tc>
          <w:tcPr>
            <w:tcW w:w="397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62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39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62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Synchronizacja transakcji karty</w:t>
            </w:r>
          </w:p>
        </w:tc>
      </w:tr>
      <w:tr>
        <w:trPr/>
        <w:tc>
          <w:tcPr>
            <w:tcW w:w="39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62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Rozszerzenie sparowane; otwarta karta MetaMask w przeglądarce</w:t>
            </w:r>
          </w:p>
        </w:tc>
      </w:tr>
      <w:tr>
        <w:trPr/>
        <w:tc>
          <w:tcPr>
            <w:tcW w:w="39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62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Transakcje widoczne w /transactions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card.metamask.io i klika „Sync now” w rozszerzeniu.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Content script scrapuje wiersze tabeli transakcji.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Background normalizuje dane i wysyła POST sync z tokenem.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API wykonuje upsert w tabeli </w:t>
      </w:r>
      <w:r>
        <w:rPr>
          <w:rStyle w:val="SourceText"/>
        </w:rPr>
        <w:t>transactions</w:t>
      </w:r>
      <w:r>
        <w:rPr/>
        <w:t xml:space="preserve">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7.4. Automatyczna kategoryzacja wydatków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wchodzi w Categories → Categorize spendings.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System skanuje nieprzypisane merchanty; najpierw dopasowuje z CardMerchantMemory.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Niedopasowane merchanty przechodzą przez silnik reguł (</w:t>
      </w:r>
      <w:r>
        <w:rPr>
          <w:rStyle w:val="SourceText"/>
        </w:rPr>
        <w:t>firstMatchingCategoryId</w:t>
      </w:r>
      <w:r>
        <w:rPr/>
        <w:t xml:space="preserve">); dopasowane od razu otrzymują kategorię.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Pozostałe (nieprzypisane przez reguły) merchanty kierowane do OpenAI; wynik zapisywany i uczy pamięci.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Użytkownik widzi postęp w CardCategorizationRun.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7.5. Przeglądanie analityki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/analytics.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Wybiera zakres dat.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API zwraca agregaty; frontend renderuje wykresy (Recharts). </w:t>
      </w:r>
    </w:p>
    <w:p>
      <w:pPr>
        <w:pStyle w:val="Heading1"/>
        <w:bidi w:val="0"/>
        <w:jc w:val="center"/>
        <w:rPr/>
      </w:pPr>
      <w:r>
        <w:rPr/>
        <w:t>8. Diagramy czynności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72125" cy="75247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524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 xml:space="preserve">Diagram czynności: Rejestracja użytkownika </w:t>
        <w:br/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62450" cy="988695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988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Parowanie rozszerzenia</w:t>
      </w:r>
    </w:p>
    <w:p>
      <w:pPr>
        <w:pStyle w:val="BodyText"/>
        <w:bidi w:val="0"/>
        <w:spacing w:before="180" w:after="180"/>
        <w:ind w:hanging="0" w:start="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581469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814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Synchronizacja transakcji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893127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893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Automatyczna kategoryzacja (AI)</w:t>
      </w:r>
    </w:p>
    <w:p>
      <w:pPr>
        <w:pStyle w:val="Heading1"/>
        <w:bidi w:val="0"/>
        <w:jc w:val="center"/>
        <w:rPr/>
      </w:pPr>
      <w:r>
        <w:rPr/>
        <w:t>9. Diagram ERD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rStyle w:val="SourceText"/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03860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10. Diagram klas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73900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73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11. Diagram sekwencji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295084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295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12. Diagram stanów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552450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52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13. Diagram komponentów i wdrożenia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rStyle w:val="SourceText"/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4203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42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14. Plan procesu testowania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14.1. Testy automatyczne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Testy jednostkowe</w:t>
      </w:r>
      <w:r>
        <w:rPr/>
        <w:t xml:space="preserve"> — Jest: </w:t>
      </w:r>
      <w:r>
        <w:rPr>
          <w:rStyle w:val="SourceText"/>
        </w:rPr>
        <w:t>card-transactions.service.spec.ts</w:t>
      </w:r>
      <w:r>
        <w:rPr/>
        <w:t xml:space="preserve">, </w:t>
      </w:r>
      <w:r>
        <w:rPr>
          <w:rStyle w:val="SourceText"/>
        </w:rPr>
        <w:t>card-merchant-auto-categorize.spec.ts</w:t>
      </w:r>
      <w:r>
        <w:rPr/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>
          <w:rStyle w:val="Strong"/>
        </w:rPr>
        <w:t>Testy integracyjne</w:t>
      </w:r>
      <w:r>
        <w:rPr/>
        <w:t xml:space="preserve"> — (planowane) endpointy auth i sync z testową bazą.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14.2. Testy manualne</w:t>
      </w:r>
    </w:p>
    <w:p>
      <w:pPr>
        <w:pStyle w:val="BodyText"/>
        <w:bidi w:val="0"/>
        <w:spacing w:before="0" w:after="283"/>
        <w:jc w:val="start"/>
        <w:rPr/>
      </w:pPr>
      <w:r>
        <w:rPr/>
        <w:t>Scenariusze opisane w rozdziale 19 — wykonywane przez testera na środowisku dev (web + API + rozszerzenie).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14.3. Utrzymanie</w:t>
      </w:r>
    </w:p>
    <w:p>
      <w:pPr>
        <w:pStyle w:val="BodyText"/>
        <w:bidi w:val="0"/>
        <w:spacing w:before="0" w:after="283"/>
        <w:jc w:val="start"/>
        <w:rPr/>
      </w:pPr>
      <w:r>
        <w:rPr/>
        <w:t>Po wdrożeniu: raportowanie błędów, poprawki w kolejnych wersjach, migracje Prisma.</w:t>
      </w:r>
    </w:p>
    <w:p>
      <w:pPr>
        <w:pStyle w:val="Heading1"/>
        <w:bidi w:val="0"/>
        <w:jc w:val="center"/>
        <w:rPr/>
      </w:pPr>
      <w:r>
        <w:rPr/>
        <w:t>15. Raport z analizy rynku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15.1. Funkcje kluczowe CryptoTrack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Specjalizacja w MetaMask Card (nie ogólny eksplorator blockchain).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Kategoryzacja wydatków z AI i pamięcią merchantów.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Rozszerzenie do synchronizacji bez ręcznego importu CSV.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15.2. Porównanie z konkurencją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Koinly / CoinTracker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szerokie wsparcie podatków i wielu giełd.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mniej nastawione na codzienne wydatki kartą DeFi; wyższy próg wejścia.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Rotki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open source, lokalna kontrola danych.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wymaga ręcznej konfiguracji; brak dedykowanego flow MetaMask Card.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Aplikacje bankowe tradycyjne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gotowa kategoryzacja i UX.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nie obejmują wydatków kartą krypto MetaMask.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15.3. Podsumowanie</w:t>
      </w:r>
    </w:p>
    <w:p>
      <w:pPr>
        <w:pStyle w:val="BodyText"/>
        <w:bidi w:val="0"/>
        <w:spacing w:before="0" w:after="283"/>
        <w:jc w:val="start"/>
        <w:rPr/>
      </w:pPr>
      <w:r>
        <w:rPr/>
        <w:t>CryptoTrack wypełnia niszę „expense tracker dla MetaMask Card”. Wybór narzędzia zależy od tego, czy użytkownik potrzebuje raportów podatkowych on-chain, czy przejrzystego budżetu kartowej.</w:t>
      </w:r>
    </w:p>
    <w:p>
      <w:pPr>
        <w:pStyle w:val="Heading1"/>
        <w:bidi w:val="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t>16. Struktura bazy danych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16.2. Model logiczny</w:t>
      </w:r>
    </w:p>
    <w:p>
      <w:pPr>
        <w:pStyle w:val="BodyText"/>
        <w:bidi w:val="0"/>
        <w:spacing w:before="0" w:after="283"/>
        <w:jc w:val="start"/>
        <w:rPr/>
      </w:pPr>
      <w:r>
        <w:rPr/>
        <w:t>Encje: User (1) — (N) Transaction, Category, Session, ExtensionToken, CardMerchantMemory, CardCategorizationRun, Trip; User (1) — (1) PortfolioAccount; Category (1) — (N) SubCategory (self-reference parentId); Trip (N) — (N) Transaction przez TripTransaction.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16.3. Model fizyczny</w:t>
      </w:r>
    </w:p>
    <w:p>
      <w:pPr>
        <w:pStyle w:val="BodyText"/>
        <w:bidi w:val="0"/>
        <w:spacing w:before="0" w:after="283"/>
        <w:jc w:val="start"/>
        <w:rPr/>
      </w:pPr>
      <w:r>
        <w:rPr/>
        <w:t>PostgreSQL; ORM Prisma; tabele: users, sessions, transactions, categories, card_merchant_memory, card_categorization_runs, extension_tokens, portfolio_accounts.</w:t>
      </w:r>
    </w:p>
    <w:p>
      <w:pPr>
        <w:pStyle w:val="Heading1"/>
        <w:bidi w:val="0"/>
        <w:jc w:val="center"/>
        <w:rPr/>
      </w:pPr>
      <w:r>
        <w:rPr/>
        <w:t>17. Dokumentacja bezpieczeństwa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17.1. Szyfrowanie w tranzycie</w:t>
      </w:r>
    </w:p>
    <w:p>
      <w:pPr>
        <w:pStyle w:val="BodyText"/>
        <w:bidi w:val="0"/>
        <w:spacing w:before="0" w:after="283"/>
        <w:jc w:val="start"/>
        <w:rPr/>
      </w:pPr>
      <w:r>
        <w:rPr/>
        <w:t>HTTPS (TLS 1.2+) między przeglądarką a API w produkcji.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17.2. Szyfrowanie w spoczynku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Hasła: bcrypt hash. Tokeny rozszerzenia i refresh: przechowywane jako hash w bazie.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17.3. Uwierzytelnianie</w:t>
      </w:r>
    </w:p>
    <w:p>
      <w:pPr>
        <w:pStyle w:val="BodyText"/>
        <w:bidi w:val="0"/>
        <w:spacing w:before="0" w:after="283"/>
        <w:jc w:val="start"/>
        <w:rPr/>
      </w:pPr>
      <w:r>
        <w:rPr/>
        <w:t>JWT access + refresh token w tabeli sessions; opcjonalnie SIWE dla portfela Ethereum.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17.4. Ochrona przed atakami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Walidacja wejścia (DTO, class-validator) — ochrona przed injection.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Prisma parameterized queries — ochrona przed SQL injection.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Rate limiting (planowane na produkcji).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17.5. Uprawnienia</w:t>
      </w:r>
    </w:p>
    <w:p>
      <w:pPr>
        <w:pStyle w:val="BodyText"/>
        <w:bidi w:val="0"/>
        <w:spacing w:before="0" w:after="283"/>
        <w:jc w:val="start"/>
        <w:rPr/>
      </w:pPr>
      <w:r>
        <w:rPr/>
        <w:t>Model single-tenant: każdy użytkownik widzi wyłącznie swoje transakcje (</w:t>
      </w:r>
      <w:r>
        <w:rPr>
          <w:rStyle w:val="SourceText"/>
        </w:rPr>
        <w:t>userId</w:t>
      </w:r>
      <w:r>
        <w:rPr/>
        <w:t xml:space="preserve"> w każdym zapytaniu).</w:t>
      </w:r>
    </w:p>
    <w:p>
      <w:pPr>
        <w:pStyle w:val="Heading1"/>
        <w:bidi w:val="0"/>
        <w:jc w:val="center"/>
        <w:rPr/>
      </w:pPr>
      <w:r>
        <w:rPr/>
        <w:t>18. Kod SQL (PostgreSQL)</w:t>
      </w:r>
    </w:p>
    <w:p>
      <w:pPr>
        <w:pStyle w:val="BodyText"/>
        <w:bidi w:val="0"/>
        <w:spacing w:before="0" w:after="283"/>
        <w:jc w:val="start"/>
        <w:rPr/>
      </w:pPr>
      <w:r>
        <w:rPr/>
        <w:t>Poniżej fragment schematu wygenerowanego przez Prisma Migrate (dialekt PostgreSQL).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>CREATE TABLE "users" (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"id" TEXT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"email" TEXT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"passwordHash" TEXT,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"displayName" TEXT,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"createdAt" TIMESTAMP(3) NOT NULL DEFAULT CURRENT_TIMESTAMP,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"updatedAt" TIMESTAMP(3)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CONSTRAINT "users_pkey" PRIMARY KEY ("id")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>);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UNIQUE INDEX "users_email_key" ON "users"("email");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TABLE "transactions" (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"id" TEXT NOT NULL,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"userId" TEXT NOT NULL,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"source" "TransactionSource" NOT NULL DEFAULT 'CARD',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"externalId" TEXT NOT NULL,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"timestamp" TIMESTAMP(3) NOT NULL,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"merchantName" TEXT,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"fiatAmount" DECIMAL(24,8),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"categoryId" TEXT,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"subcategoryId" TEXT,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CONSTRAINT "transactions_pkey" PRIMARY KEY ("id"),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CONSTRAINT "transactions_userId_fkey" FOREIGN KEY ("userId") REFERENCES "users"("id") ON DELETE CASCADE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);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UNIQUE INDEX "transactions_userId_source_externalId_key"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ON "transactions"("userId", "source", "externalId");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Pełny schemat: </w:t>
      </w:r>
      <w:r>
        <w:rPr>
          <w:rStyle w:val="SourceText"/>
        </w:rPr>
        <w:t>packages/db/prisma/schema.prisma</w:t>
      </w:r>
      <w:r>
        <w:rPr/>
        <w:t xml:space="preserve"> oraz katalog </w:t>
      </w:r>
      <w:r>
        <w:rPr>
          <w:rStyle w:val="SourceText"/>
        </w:rPr>
        <w:t>prisma/migrations/</w:t>
      </w:r>
      <w:r>
        <w:rPr/>
        <w:t>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18.2. Widok przykładowy (PostgreSQL)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VIEW v_user_spending_by_category AS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SELECT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t."userId",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c.name AS category_name,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DATE_TRUNC('month', t."timestamp") AS month,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SUM(t."fiatAmount") AS total_fiat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FROM transactions t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LEFT JOIN categories c ON c.id = t."categoryId"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WHERE t."fiatAmount" IS NOT NULL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GROUP BY t."userId", c.name, DATE_TRUNC('month', t."timestamp");</w:t>
      </w:r>
    </w:p>
    <w:p>
      <w:pPr>
        <w:pStyle w:val="Heading1"/>
        <w:bidi w:val="0"/>
        <w:jc w:val="center"/>
        <w:rPr/>
      </w:pPr>
      <w:r>
        <w:rPr/>
        <w:t>19. Przypadki testowe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19.1. Rejestracja — niespójne hasło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32"/>
        <w:gridCol w:w="4322"/>
        <w:gridCol w:w="4151"/>
      </w:tblGrid>
      <w:tr>
        <w:trPr/>
        <w:tc>
          <w:tcPr>
            <w:tcW w:w="17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ind w:hanging="0" w:start="0" w:end="1134"/>
              <w:jc w:val="start"/>
              <w:rPr/>
            </w:pPr>
            <w:r>
              <w:rPr/>
              <w:t>Nr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start"/>
              <w:rPr/>
            </w:pPr>
            <w:r>
              <w:rPr/>
              <w:t>Krok</w:t>
            </w:r>
          </w:p>
        </w:tc>
        <w:tc>
          <w:tcPr>
            <w:tcW w:w="41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start"/>
              <w:rPr/>
            </w:pPr>
            <w:r>
              <w:rPr/>
              <w:t>Rezultat</w:t>
            </w:r>
          </w:p>
        </w:tc>
      </w:tr>
      <w:tr>
        <w:trPr/>
        <w:tc>
          <w:tcPr>
            <w:tcW w:w="173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Otwórz /auth/login → rejestracja</w:t>
            </w:r>
          </w:p>
        </w:tc>
        <w:tc>
          <w:tcPr>
            <w:tcW w:w="4151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Formularz rejestracji</w:t>
            </w:r>
          </w:p>
        </w:tc>
      </w:tr>
      <w:tr>
        <w:trPr/>
        <w:tc>
          <w:tcPr>
            <w:tcW w:w="173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2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Wpisz różne hasła w polach Hasło i Powtórz</w:t>
            </w:r>
          </w:p>
        </w:tc>
        <w:tc>
          <w:tcPr>
            <w:tcW w:w="4151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73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3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Kliknij Zarejestruj</w:t>
            </w:r>
          </w:p>
        </w:tc>
        <w:tc>
          <w:tcPr>
            <w:tcW w:w="4151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Komunikat błędu walidacji; brak konta</w:t>
            </w:r>
          </w:p>
        </w:tc>
      </w:tr>
    </w:tbl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19.2. Rejestracja — pomyślna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00"/>
        <w:gridCol w:w="3957"/>
        <w:gridCol w:w="4648"/>
      </w:tblGrid>
      <w:tr>
        <w:trPr/>
        <w:tc>
          <w:tcPr>
            <w:tcW w:w="16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ind w:hanging="0" w:start="0" w:end="1134"/>
              <w:jc w:val="center"/>
              <w:rPr/>
            </w:pPr>
            <w:r>
              <w:rPr/>
              <w:t>Nr</w:t>
            </w:r>
          </w:p>
        </w:tc>
        <w:tc>
          <w:tcPr>
            <w:tcW w:w="39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Krok</w:t>
            </w:r>
          </w:p>
        </w:tc>
        <w:tc>
          <w:tcPr>
            <w:tcW w:w="464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Rezultat</w:t>
            </w:r>
          </w:p>
        </w:tc>
      </w:tr>
      <w:tr>
        <w:trPr/>
        <w:tc>
          <w:tcPr>
            <w:tcW w:w="1600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1–2</w:t>
            </w:r>
          </w:p>
        </w:tc>
        <w:tc>
          <w:tcPr>
            <w:tcW w:w="3957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Poprawne dane, unikalny e-mail</w:t>
            </w:r>
          </w:p>
        </w:tc>
        <w:tc>
          <w:tcPr>
            <w:tcW w:w="4648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600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3</w:t>
            </w:r>
          </w:p>
        </w:tc>
        <w:tc>
          <w:tcPr>
            <w:tcW w:w="3957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Zarejestruj</w:t>
            </w:r>
          </w:p>
        </w:tc>
        <w:tc>
          <w:tcPr>
            <w:tcW w:w="4648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Przekierowanie / możliwość logowania</w:t>
            </w:r>
          </w:p>
        </w:tc>
      </w:tr>
    </w:tbl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19.3. Synchronizacja bez parowania</w:t>
      </w:r>
    </w:p>
    <w:tbl>
      <w:tblPr>
        <w:tblW w:w="99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34"/>
        <w:gridCol w:w="3293"/>
        <w:gridCol w:w="5115"/>
      </w:tblGrid>
      <w:tr>
        <w:trPr/>
        <w:tc>
          <w:tcPr>
            <w:tcW w:w="15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Nr</w:t>
            </w:r>
          </w:p>
        </w:tc>
        <w:tc>
          <w:tcPr>
            <w:tcW w:w="32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Krok</w:t>
            </w:r>
          </w:p>
        </w:tc>
        <w:tc>
          <w:tcPr>
            <w:tcW w:w="51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Rezultat</w:t>
            </w:r>
          </w:p>
        </w:tc>
      </w:tr>
      <w:tr>
        <w:trPr/>
        <w:tc>
          <w:tcPr>
            <w:tcW w:w="1534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</w:t>
            </w:r>
          </w:p>
        </w:tc>
        <w:tc>
          <w:tcPr>
            <w:tcW w:w="3293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Sync now bez tokenu</w:t>
            </w:r>
          </w:p>
        </w:tc>
        <w:tc>
          <w:tcPr>
            <w:tcW w:w="5115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Komunikat błędu w popup rozszerzenia</w:t>
            </w:r>
          </w:p>
        </w:tc>
      </w:tr>
    </w:tbl>
    <w:p>
      <w:pPr>
        <w:pStyle w:val="Heading1"/>
        <w:bidi w:val="0"/>
        <w:jc w:val="center"/>
        <w:rPr/>
      </w:pPr>
      <w:r>
        <w:rPr/>
        <w:t>20. Testy jednostkowe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51802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51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283"/>
        <w:jc w:val="start"/>
        <w:rPr/>
      </w:pPr>
      <w:r>
        <w:rPr/>
        <w:t>Testy obejmują m.in. normalizację merchantów i logikę auto-kategoryzacji (</w:t>
      </w:r>
      <w:r>
        <w:rPr>
          <w:rStyle w:val="SourceText"/>
        </w:rPr>
        <w:t>card-merchant-auto-categorize.spec.ts</w:t>
      </w:r>
      <w:r>
        <w:rPr/>
        <w:t>).</w:t>
      </w:r>
    </w:p>
    <w:p>
      <w:pPr>
        <w:pStyle w:val="Heading1"/>
        <w:bidi w:val="0"/>
        <w:jc w:val="center"/>
        <w:rPr/>
      </w:pPr>
      <w:r>
        <w:rPr/>
        <w:t>21. Podręcznik użytkownika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Spis treści:</w:t>
      </w:r>
      <w:r>
        <w:rPr/>
        <w:t xml:space="preserve"> 1. Rejestracja. 2. Logowanie. 3. Parowanie rozszerzenia. 4. Synchronizacja. 5. Transakcje. 6. Kategorie. 7. Kategoryzacja AI. 8. Analityka. 9. Ustawienia.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21.1. Rejestracja i logowanie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508635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08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21.2. Dashboard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21.3. Parowanie rozszerzenia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95650" cy="257175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21.4. Synchronizacja transakcji</w:t>
      </w:r>
    </w:p>
    <w:p>
      <w:pPr>
        <w:pStyle w:val="BodyText"/>
        <w:bidi w:val="0"/>
        <w:spacing w:before="180" w:after="180"/>
        <w:ind w:hanging="0" w:start="0" w:end="180"/>
        <w:jc w:val="center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21.5. Lista transakcji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21.6. Zarządzanie kategoriami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21.7. Analityka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Stos technologiczny (podsumowanie)</w:t>
      </w:r>
    </w:p>
    <w:p>
      <w:pPr>
        <w:pStyle w:val="BodyText"/>
        <w:bidi w:val="0"/>
        <w:spacing w:before="0" w:after="283"/>
        <w:jc w:val="start"/>
        <w:rPr/>
      </w:pPr>
      <w:r>
        <w:rPr/>
        <w:t>TypeScript, React 19, Next.js 15, Tailwind CSS, NestJS, Fastify, PostgreSQL, Prisma, JWT, SIWE, REST API, rozszerzenie Chrome (Plasmo), OpenAI API, Docker, pnpm, Turbo.</w:t>
      </w:r>
    </w:p>
    <w:p>
      <w:pPr>
        <w:pStyle w:val="Heading1"/>
        <w:bidi w:val="0"/>
        <w:jc w:val="center"/>
        <w:rPr/>
      </w:pPr>
      <w:r>
        <w:rPr/>
        <w:t>Repozytorium</w:t>
      </w:r>
    </w:p>
    <w:p>
      <w:pPr>
        <w:pStyle w:val="BodyText"/>
        <w:bidi w:val="0"/>
        <w:spacing w:before="0" w:after="283"/>
        <w:jc w:val="start"/>
        <w:rPr/>
      </w:pPr>
      <w:r>
        <w:rPr/>
        <w:t>GitHub: https://github.com/ZAKHAROV-Artem/meta-spend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lowerLetter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lowerLetter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lowerLetter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lowerLetter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lowerLetter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lowerLetter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lowerLetter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lowerLetter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lowerLetter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95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lineRule="auto" w:line="324" w:before="1134" w:after="1134"/>
      <w:ind w:start="1134" w:end="1134"/>
      <w:jc w:val="start"/>
    </w:pPr>
    <w:rPr>
      <w:rFonts w:ascii="Liberation Serif;Times New Roman;serif" w:hAnsi="Liberation Serif;Times New Roman;serif" w:eastAsia="Liberation Serif;Times New Roman;serif" w:cs="Liberation Serif;Times New Roman;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jc w:val="center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pageBreakBefore w:val="false"/>
      <w:numPr>
        <w:ilvl w:val="0"/>
        <w:numId w:val="0"/>
      </w:numPr>
      <w:spacing w:before="200" w:after="120"/>
      <w:ind w:start="1134"/>
      <w:outlineLvl w:val="1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ind w:start="1134"/>
      <w:outlineLvl w:val="2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4F4F4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PreformattedText">
    <w:name w:val="Preformatted Text"/>
    <w:basedOn w:val="Normal"/>
    <w:qFormat/>
    <w:pPr>
      <w:spacing w:before="1134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482</TotalTime>
  <Application>LibreOffice/25.8.7.3$Linux_X86_64 LibreOffice_project/580$Build-3</Application>
  <AppVersion>15.0000</AppVersion>
  <Pages>25</Pages>
  <Words>1766</Words>
  <Characters>12645</Characters>
  <CharactersWithSpaces>14241</CharactersWithSpaces>
  <Paragraphs>291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2026-06-21T17:07:53Z</dcterms:modified>
  <cp:revision>8</cp:revision>
  <dc:subject/>
  <dc:title>CryptoTrack — dokumentacja projektu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