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2268" w:after="283"/>
        <w:ind w:hanging="0" w:start="0" w:end="0"/>
        <w:jc w:val="center"/>
        <w:rPr/>
      </w:pPr>
      <w:r>
        <w:rPr>
          <w:rStyle w:val="Strong"/>
        </w:rPr>
        <w:t>CryptoTrack</w:t>
      </w:r>
    </w:p>
    <w:p>
      <w:pPr>
        <w:pStyle w:val="BodyText"/>
        <w:bidi w:val="0"/>
        <w:spacing w:before="2268" w:after="283"/>
        <w:jc w:val="center"/>
        <w:rPr/>
      </w:pPr>
      <w:r>
        <w:rPr/>
        <w:t>System wizualizacji i analizy transakcji MetaMask Card</w:t>
      </w:r>
    </w:p>
    <w:p>
      <w:pPr>
        <w:pStyle w:val="BodyText"/>
        <w:bidi w:val="0"/>
        <w:spacing w:before="2268" w:after="283"/>
        <w:jc w:val="center"/>
        <w:rPr/>
      </w:pPr>
      <w:r>
        <w:rPr/>
      </w:r>
    </w:p>
    <w:p>
      <w:pPr>
        <w:pStyle w:val="BodyText"/>
        <w:bidi w:val="0"/>
        <w:spacing w:before="2268" w:after="283"/>
        <w:jc w:val="center"/>
        <w:rPr/>
      </w:pPr>
      <w:r>
        <w:rPr/>
        <w:t>Artem Zakharov</w:t>
      </w:r>
    </w:p>
    <w:p>
      <w:pPr>
        <w:pStyle w:val="BodyText"/>
        <w:bidi w:val="0"/>
        <w:spacing w:before="2268" w:after="283"/>
        <w:jc w:val="center"/>
        <w:rPr/>
      </w:pPr>
      <w:r>
        <w:rPr/>
        <w:t>Przedmiot: Systemowe Projektowanie</w:t>
      </w:r>
    </w:p>
    <w:p>
      <w:pPr>
        <w:pStyle w:val="BodyText"/>
        <w:bidi w:val="0"/>
        <w:spacing w:before="2268" w:after="283"/>
        <w:jc w:val="center"/>
        <w:rPr/>
      </w:pPr>
      <w:r>
        <w:rPr/>
        <w:t>Grupa: A1</w:t>
      </w:r>
    </w:p>
    <w:p>
      <w:pPr>
        <w:pStyle w:val="BodyText"/>
        <w:bidi w:val="0"/>
        <w:spacing w:before="2268" w:after="283"/>
        <w:jc w:val="center"/>
        <w:rPr/>
      </w:pPr>
      <w:r>
        <w:rPr/>
        <w:t>Rok akademicki: 2025/2026</w:t>
      </w:r>
    </w:p>
    <w:p>
      <w:pPr>
        <w:pStyle w:val="Heading1"/>
        <w:bidi w:val="0"/>
        <w:jc w:val="center"/>
        <w:rPr/>
      </w:pPr>
      <w:r>
        <w:rPr/>
        <w:t>1. Cel projektu</w:t>
      </w:r>
    </w:p>
    <w:p>
      <w:pPr>
        <w:pStyle w:val="BodyText"/>
        <w:bidi w:val="0"/>
        <w:spacing w:before="0" w:after="283"/>
        <w:jc w:val="start"/>
        <w:rPr/>
      </w:pPr>
      <w:r>
        <w:rPr/>
        <w:t>Celem projektu jest stworzenie funkcjonalnego oprogramowania umożliwiającego użytkownikom kart MetaMask Card śledzenie wydatków w sposób zbliżony do tradycyjnych aplikacji bankowych. Transakcje kryptowalutowe prezentowane w portfelu MetaMask są trudne do analizy pod kątem codziennych wydatków — brakuje kategoryzacji, podsumowań miesięcznych oraz przejrzystych wykresów.</w:t>
      </w:r>
    </w:p>
    <w:p>
      <w:pPr>
        <w:pStyle w:val="BodyText"/>
        <w:bidi w:val="0"/>
        <w:spacing w:before="0" w:after="283"/>
        <w:jc w:val="start"/>
        <w:rPr/>
      </w:pPr>
      <w:r>
        <w:rPr/>
        <w:t>CryptoTrack rozwiązuje ten problem poprzez: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synchronizację historii transakcji z panelu MetaMask Card (rozszerzenie Chrome),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przechowywanie i normalizację danych w centralnej bazie PostgreSQL,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ręczną i automatyczną (AI) kategoryzację wydatków według kategorii i podkategorii,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843" w:leader="none"/>
        </w:tabs>
        <w:bidi w:val="0"/>
        <w:ind w:hanging="283" w:start="1843" w:end="1134"/>
        <w:jc w:val="start"/>
        <w:rPr/>
      </w:pPr>
      <w:r>
        <w:rPr/>
        <w:t xml:space="preserve">dashboard, listę transakcji oraz moduł analityki z wykresami i porównaniem okresów. </w:t>
      </w:r>
    </w:p>
    <w:p>
      <w:pPr>
        <w:pStyle w:val="BodyText"/>
        <w:bidi w:val="0"/>
        <w:spacing w:before="0" w:after="283"/>
        <w:jc w:val="start"/>
        <w:rPr/>
      </w:pPr>
      <w:r>
        <w:rPr/>
        <w:t>Ostatecznym efektem jest podniesienie świadomości finansowej użytkownika Web3 oraz ułatwienie kontroli budżetu opartego na wydatkach kartą.</w:t>
      </w:r>
    </w:p>
    <w:p>
      <w:pPr>
        <w:pStyle w:val="Heading1"/>
        <w:bidi w:val="0"/>
        <w:jc w:val="center"/>
        <w:rPr/>
      </w:pPr>
      <w:r>
        <w:rPr/>
        <w:t>2. Szczegółowy opis wymagań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2.1. Wymagania funkcjonalne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 xml:space="preserve">❖ </w:t>
      </w:r>
      <w:r>
        <w:rPr>
          <w:rStyle w:val="Strong"/>
        </w:rPr>
        <w:t>Obsługa kont użytkowników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Rejestracja i logowanie za pomocą adresu e-mail i hasła (JWT + sesje odświeżania).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Opcjonalne logowanie portfelem Web3 (SIWE — Sign-In with Ethereum).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843" w:leader="none"/>
        </w:tabs>
        <w:bidi w:val="0"/>
        <w:ind w:hanging="283" w:start="1843" w:end="1134"/>
        <w:jc w:val="start"/>
        <w:rPr/>
      </w:pPr>
      <w:r>
        <w:rPr/>
        <w:t xml:space="preserve">Profil użytkownika: wyświetlana nazwa, powiązany adres portfela (PortfolioAccount). 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 xml:space="preserve">❖ </w:t>
      </w:r>
      <w:r>
        <w:rPr>
          <w:rStyle w:val="Strong"/>
        </w:rPr>
        <w:t>Synchronizacja transakcji MetaMask Card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Rozszerzenie Chrome (Plasmo) pobiera listę transakcji ze stron card.metamask.io / portfolio.metamask.io.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Parowanie rozszerzenia z kontem użytkownika kodem 6-cyfrowym wygenerowanym w ustawieniach aplikacji web.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Endpoint REST </w:t>
      </w:r>
      <w:r>
        <w:rPr>
          <w:rStyle w:val="SourceText"/>
        </w:rPr>
        <w:t>POST /api/v1/card-transactions/sync</w:t>
      </w:r>
      <w:r>
        <w:rPr/>
        <w:t xml:space="preserve"> — upsert transakcji po </w:t>
      </w:r>
      <w:r>
        <w:rPr>
          <w:rStyle w:val="SourceText"/>
        </w:rPr>
        <w:t>externalId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843" w:leader="none"/>
        </w:tabs>
        <w:bidi w:val="0"/>
        <w:ind w:hanging="283" w:start="1843" w:end="1134"/>
        <w:jc w:val="start"/>
        <w:rPr/>
      </w:pPr>
      <w:r>
        <w:rPr/>
        <w:t xml:space="preserve">Zapisywane pola: merchant, kwota fiat/crypto, status (PENDING, SETTLED, DECLINED, REFUNDED), znacznik czasu. 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 xml:space="preserve">❖ </w:t>
      </w:r>
      <w:r>
        <w:rPr>
          <w:rStyle w:val="Strong"/>
        </w:rPr>
        <w:t>Zarządzanie transakcjami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Lista transakcji z filtrowaniem po dacie, kategorii, merchantcie, statusie.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Ręczna edycja kategorii, podkategorii i notatek dla pojedynczej transakcji.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843" w:leader="none"/>
        </w:tabs>
        <w:bidi w:val="0"/>
        <w:ind w:hanging="283" w:start="1843" w:end="1134"/>
        <w:jc w:val="start"/>
        <w:rPr/>
      </w:pPr>
      <w:r>
        <w:rPr/>
        <w:t>Statystyki zbiorcze: sumy wydatków, rozkład po kategoriach (</w:t>
      </w:r>
      <w:r>
        <w:rPr>
          <w:rStyle w:val="SourceText"/>
        </w:rPr>
        <w:t>GET /transactions/stats</w:t>
      </w:r>
      <w:r>
        <w:rPr/>
        <w:t xml:space="preserve">). 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 xml:space="preserve">❖ </w:t>
      </w:r>
      <w:r>
        <w:rPr>
          <w:rStyle w:val="Strong"/>
        </w:rPr>
        <w:t>Kategorie i podkategorie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CRUD kategorii użytkownika (nazwa, kolor, ikona).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Hierarchia parent → subcategory (np. „Jedzenie” → „Restauracje”).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Kategorie systemowe (seed) oraz domyślne podkategorie.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843" w:leader="none"/>
        </w:tabs>
        <w:bidi w:val="0"/>
        <w:ind w:hanging="283" w:start="1843" w:end="1134"/>
        <w:jc w:val="start"/>
        <w:rPr/>
      </w:pPr>
      <w:r>
        <w:rPr/>
        <w:t xml:space="preserve">Strona „Categorize spendings” — masowa kategoryzacja merchantów. 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 xml:space="preserve">❖ </w:t>
      </w:r>
      <w:r>
        <w:rPr>
          <w:rStyle w:val="Strong"/>
        </w:rPr>
        <w:t>Automatyczna kategoryzacja (AI + pamięć merchantów)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Model </w:t>
      </w:r>
      <w:r>
        <w:rPr>
          <w:rStyle w:val="SourceText"/>
        </w:rPr>
        <w:t>CardMerchantMemory</w:t>
      </w:r>
      <w:r>
        <w:rPr/>
        <w:t xml:space="preserve"> — zapamiętanie mapowania merchantKey → kategoria po potwierdzeniu użytkownika lub AI.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>Usługa OpenAI przypisuje kategorię nieznanym merchantom (</w:t>
      </w:r>
      <w:r>
        <w:rPr>
          <w:rStyle w:val="SourceText"/>
        </w:rPr>
        <w:t>bulk-categorize</w:t>
      </w:r>
      <w:r>
        <w:rPr/>
        <w:t xml:space="preserve">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843" w:leader="none"/>
        </w:tabs>
        <w:bidi w:val="0"/>
        <w:ind w:hanging="283" w:start="1843" w:end="1134"/>
        <w:jc w:val="start"/>
        <w:rPr/>
      </w:pPr>
      <w:r>
        <w:rPr/>
        <w:t xml:space="preserve">Śledzenie przebiegu w </w:t>
      </w:r>
      <w:r>
        <w:rPr>
          <w:rStyle w:val="SourceText"/>
        </w:rPr>
        <w:t>CardCategorizationRun</w:t>
      </w:r>
      <w:r>
        <w:rPr/>
        <w:t xml:space="preserve"> (status, liczniki dopasowań). 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 xml:space="preserve">❖ </w:t>
      </w:r>
      <w:r>
        <w:rPr>
          <w:rStyle w:val="Strong"/>
        </w:rPr>
        <w:t>Analityka i wykresy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Strona Analytics: wykresy wydatków w czasie, rozkład kategorii, porównanie okresów.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Biblioteki: Recharts, agregacja po stronie API.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843" w:leader="none"/>
        </w:tabs>
        <w:bidi w:val="0"/>
        <w:ind w:hanging="283" w:start="1843" w:end="1134"/>
        <w:jc w:val="start"/>
        <w:rPr/>
      </w:pPr>
      <w:r>
        <w:rPr/>
        <w:t xml:space="preserve">Filtr zakresu dat (DateRangePicker). 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 xml:space="preserve">❖ </w:t>
      </w:r>
      <w:r>
        <w:rPr>
          <w:rStyle w:val="Strong"/>
        </w:rPr>
        <w:t>Dashboard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843" w:leader="none"/>
        </w:tabs>
        <w:bidi w:val="0"/>
        <w:ind w:hanging="283" w:start="1843" w:end="1134"/>
        <w:jc w:val="start"/>
        <w:rPr/>
      </w:pPr>
      <w:r>
        <w:rPr/>
        <w:t xml:space="preserve">Podsumowanie ostatnich transakcji, saldo karty (snapshot z rozszerzenia), szybki wgląd w wydatki. 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2.2. Wymagania niefunkcjonalne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 xml:space="preserve">❖ </w:t>
      </w:r>
      <w:r>
        <w:rPr>
          <w:rStyle w:val="Strong"/>
        </w:rPr>
        <w:t>Łatwość użycia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Responsywny interfejs (Next.js 15, React 19, Tailwind CSS, shadcn/ui).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Sidebar nawigacyjny: Dashboard, Transactions, Categories, Settings; widok mobilny z menu.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843" w:leader="none"/>
        </w:tabs>
        <w:bidi w:val="0"/>
        <w:ind w:hanging="283" w:start="1843" w:end="1134"/>
        <w:jc w:val="start"/>
        <w:rPr/>
      </w:pPr>
      <w:r>
        <w:rPr/>
        <w:t xml:space="preserve">Tryb jasny/ciemny (ThemeSwitcher). 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 xml:space="preserve">❖ </w:t>
      </w:r>
      <w:r>
        <w:rPr>
          <w:rStyle w:val="Strong"/>
        </w:rPr>
        <w:t>Niezawodność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Monorepo (pnpm, Turbo): spójne typy w pakiecie </w:t>
      </w:r>
      <w:r>
        <w:rPr>
          <w:rStyle w:val="SourceText"/>
        </w:rPr>
        <w:t>@crypto-tracker/shared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Walidacja DTO (class-validator) i obsługa błędów HTTP w NestJS.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843" w:leader="none"/>
        </w:tabs>
        <w:bidi w:val="0"/>
        <w:ind w:hanging="283" w:start="1843" w:end="1134"/>
        <w:jc w:val="start"/>
        <w:rPr/>
      </w:pPr>
      <w:r>
        <w:rPr/>
        <w:t xml:space="preserve">Testy jednostkowe usług API (Jest). 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 xml:space="preserve">❖ </w:t>
      </w:r>
      <w:r>
        <w:rPr>
          <w:rStyle w:val="Strong"/>
        </w:rPr>
        <w:t>Wydajność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PostgreSQL z indeksami na </w:t>
      </w:r>
      <w:r>
        <w:rPr>
          <w:rStyle w:val="SourceText"/>
        </w:rPr>
        <w:t>userId</w:t>
      </w:r>
      <w:r>
        <w:rPr/>
        <w:t xml:space="preserve">, </w:t>
      </w:r>
      <w:r>
        <w:rPr>
          <w:rStyle w:val="SourceText"/>
        </w:rPr>
        <w:t>timestamp</w:t>
      </w:r>
      <w:r>
        <w:rPr/>
        <w:t xml:space="preserve">, </w:t>
      </w:r>
      <w:r>
        <w:rPr>
          <w:rStyle w:val="SourceText"/>
        </w:rPr>
        <w:t>categoryId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843" w:leader="none"/>
        </w:tabs>
        <w:bidi w:val="0"/>
        <w:ind w:hanging="283" w:start="1843" w:end="1134"/>
        <w:jc w:val="start"/>
        <w:rPr/>
      </w:pPr>
      <w:r>
        <w:rPr/>
        <w:t xml:space="preserve">Paginacja list transakcji; agregacje statystyk po stronie serwera. 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 xml:space="preserve">❖ </w:t>
      </w:r>
      <w:r>
        <w:rPr>
          <w:rStyle w:val="Strong"/>
        </w:rPr>
        <w:t>Bezpieczeństwo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Hasła hashowane (bcrypt); tokeny JWT krótkotrwałe + refresh w bazie (hash).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>Tokeny rozszerzenia przechowywane jako hash (</w:t>
      </w:r>
      <w:r>
        <w:rPr>
          <w:rStyle w:val="SourceText"/>
        </w:rPr>
        <w:t>ExtensionToken</w:t>
      </w:r>
      <w:r>
        <w:rPr/>
        <w:t xml:space="preserve">).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CORS i guardy autoryzacji na endpointach chronionych.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843" w:leader="none"/>
        </w:tabs>
        <w:bidi w:val="0"/>
        <w:ind w:hanging="283" w:start="1843" w:end="1134"/>
        <w:jc w:val="start"/>
        <w:rPr/>
      </w:pPr>
      <w:r>
        <w:rPr/>
        <w:t xml:space="preserve">TLS w środowisku produkcyjnym (HTTPS). </w:t>
      </w:r>
    </w:p>
    <w:p>
      <w:pPr>
        <w:pStyle w:val="Heading1"/>
        <w:bidi w:val="0"/>
        <w:jc w:val="center"/>
        <w:rPr/>
      </w:pPr>
      <w:r>
        <w:rPr/>
        <w:t>3. Ograniczenia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3.1. Ograniczenia technologiczne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Wymagane połączenie sieciowe do synchronizacji z API oraz (przy kategoryzacji AI) do OpenAI.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Rozszerzenie działa tylko w przeglądarce Chrome/Chromium z uprawnieniami do domen MetaMask.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1843" w:leader="none"/>
        </w:tabs>
        <w:bidi w:val="0"/>
        <w:ind w:hanging="283" w:start="1843" w:end="1134"/>
        <w:jc w:val="start"/>
        <w:rPr/>
      </w:pPr>
      <w:r>
        <w:rPr/>
        <w:t xml:space="preserve">Źródło danych ograniczone do transakcji MetaMask Card (nie pełna historia on-chain wszystkich sieci). 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3.2. Ograniczenia zakresu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Brak wieloużytkownikowych zespołów i ról menedżerskich (aplikacja single-user per konto).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843" w:leader="none"/>
        </w:tabs>
        <w:bidi w:val="0"/>
        <w:ind w:hanging="283" w:start="1843" w:end="1134"/>
        <w:jc w:val="start"/>
        <w:rPr/>
      </w:pPr>
      <w:r>
        <w:rPr/>
        <w:t xml:space="preserve">Brak integracji z systemami płatności fiat poza danymi z karty MetaMask. 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3.3. Ograniczenia czasowe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1843" w:leader="none"/>
        </w:tabs>
        <w:bidi w:val="0"/>
        <w:ind w:hanging="283" w:start="1843" w:end="1134"/>
        <w:jc w:val="start"/>
        <w:rPr/>
      </w:pPr>
      <w:r>
        <w:rPr/>
        <w:t xml:space="preserve">Projekt realizowany w ramach roku akademickiego 2025/2026. </w:t>
      </w:r>
    </w:p>
    <w:p>
      <w:pPr>
        <w:pStyle w:val="Heading1"/>
        <w:bidi w:val="0"/>
        <w:jc w:val="center"/>
        <w:rPr/>
      </w:pPr>
      <w:r>
        <w:rPr/>
        <w:t>4. Użytkownicy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4.1. Kluczowy użytkownik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 xml:space="preserve">❖ </w:t>
      </w:r>
      <w:r>
        <w:rPr>
          <w:rStyle w:val="Strong"/>
        </w:rPr>
        <w:t>Użytkownik karty MetaMask (właściciel konta)</w:t>
      </w:r>
      <w:r>
        <w:rPr/>
        <w:t xml:space="preserve"> — rejestruje się, paruje rozszerzenie, synchronizuje transakcje, zarządza kategoriami, przegląda analitykę i edytuje przypisania.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4.2. Użytkownicy techniczni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 xml:space="preserve">❖ </w:t>
      </w:r>
      <w:r>
        <w:rPr>
          <w:rStyle w:val="Strong"/>
        </w:rPr>
        <w:t>Administrator wdrożenia</w:t>
      </w:r>
      <w:r>
        <w:rPr/>
        <w:t xml:space="preserve"> — utrzymuje PostgreSQL, zmienne środowiskowe (DATABASE_URL, JWT_SECRET, OPENAI_API_KEY), deployment Docker.</w:t>
      </w:r>
    </w:p>
    <w:p>
      <w:pPr>
        <w:pStyle w:val="Heading1"/>
        <w:bidi w:val="0"/>
        <w:jc w:val="center"/>
        <w:rPr/>
      </w:pPr>
      <w:r>
        <w:rPr/>
        <w:t>5. Nazewnictwo i definicje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>
          <w:rStyle w:val="Strong"/>
        </w:rPr>
        <w:t>Użytkownik</w:t>
      </w:r>
      <w:r>
        <w:rPr/>
        <w:t xml:space="preserve"> — osoba posiadająca konto w systemie CryptoTrack.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>
          <w:rStyle w:val="Strong"/>
        </w:rPr>
        <w:t>Transakcja karty</w:t>
      </w:r>
      <w:r>
        <w:rPr/>
        <w:t xml:space="preserve"> — operacja zarejestrowana na koncie MetaMask Card (merchant, kwota, status).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>
          <w:rStyle w:val="Strong"/>
        </w:rPr>
        <w:t>Merchant</w:t>
      </w:r>
      <w:r>
        <w:rPr/>
        <w:t xml:space="preserve"> — nazwa punktu handlowego (znormalizowany klucz </w:t>
      </w:r>
      <w:r>
        <w:rPr>
          <w:rStyle w:val="SourceText"/>
        </w:rPr>
        <w:t>merchantKey</w:t>
      </w:r>
      <w:r>
        <w:rPr/>
        <w:t xml:space="preserve">).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>
          <w:rStyle w:val="Strong"/>
        </w:rPr>
        <w:t>Kategoria / podkategoria</w:t>
      </w:r>
      <w:r>
        <w:rPr/>
        <w:t xml:space="preserve"> — etykieta klasyfikacji wydatku (hierarchia drzewiasta).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>
          <w:rStyle w:val="Strong"/>
        </w:rPr>
        <w:t>Pamięć merchantów (CardMerchantMemory)</w:t>
      </w:r>
      <w:r>
        <w:rPr/>
        <w:t xml:space="preserve"> — trwałe mapowanie merchant → kategoria.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>
          <w:rStyle w:val="Strong"/>
        </w:rPr>
        <w:t>Rozszerzenie Chrome</w:t>
      </w:r>
      <w:r>
        <w:rPr/>
        <w:t xml:space="preserve"> — moduł Plasmo scrapujący HTML listy transakcji MetaMask.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>
          <w:rStyle w:val="Strong"/>
        </w:rPr>
        <w:t>SIWE</w:t>
      </w:r>
      <w:r>
        <w:rPr/>
        <w:t xml:space="preserve"> — Sign-In with Ethereum; logowanie podpisem portfela.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843" w:leader="none"/>
        </w:tabs>
        <w:bidi w:val="0"/>
        <w:ind w:hanging="283" w:start="1843" w:end="1134"/>
        <w:jc w:val="start"/>
        <w:rPr/>
      </w:pPr>
      <w:r>
        <w:rPr>
          <w:rStyle w:val="Strong"/>
        </w:rPr>
        <w:t>JWT</w:t>
      </w:r>
      <w:r>
        <w:rPr/>
        <w:t xml:space="preserve"> — JSON Web Token używany do autoryzacji żądań API. </w:t>
      </w:r>
    </w:p>
    <w:p>
      <w:pPr>
        <w:pStyle w:val="Heading1"/>
        <w:bidi w:val="0"/>
        <w:jc w:val="center"/>
        <w:rPr/>
      </w:pPr>
      <w:r>
        <w:rPr/>
        <w:t>6. Diagram przypadków użycia (UML)</w:t>
      </w:r>
    </w:p>
    <w:p>
      <w:pPr>
        <w:pStyle w:val="BodyText"/>
        <w:bidi w:val="0"/>
        <w:spacing w:before="180" w:after="180"/>
        <w:ind w:hanging="0" w:start="180" w:end="180"/>
        <w:jc w:val="center"/>
        <w:rPr>
          <w:i/>
          <w:color w:val="555555"/>
          <w:bdr w:val="dashed" w:sz="12" w:space="18" w:color="888888"/>
          <w:shd w:fill="F9F9F9" w:val="clear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51575" cy="41808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575" cy="4180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283"/>
        <w:jc w:val="start"/>
        <w:rPr/>
      </w:pPr>
      <w:r>
        <w:rPr/>
        <w:t>Diagram obejmuje aktorów: Użytkownik, Rozszerzenie Chrome oraz przypadki: rejestracja, SIWE, synchronizacja, przeglądanie transakcji, kategorie, kategoryzacja AI, analityka, parowanie rozszerzenia.</w:t>
      </w:r>
    </w:p>
    <w:p>
      <w:pPr>
        <w:pStyle w:val="Heading1"/>
        <w:bidi w:val="0"/>
        <w:jc w:val="center"/>
        <w:rPr/>
      </w:pPr>
      <w:r>
        <w:rPr/>
        <w:t>7. Scenariusze przypadków użycia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7.1. Rejestracja nowego użytkownika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327"/>
        <w:gridCol w:w="5878"/>
      </w:tblGrid>
      <w:tr>
        <w:trPr/>
        <w:tc>
          <w:tcPr>
            <w:tcW w:w="432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Pole</w:t>
            </w:r>
          </w:p>
        </w:tc>
        <w:tc>
          <w:tcPr>
            <w:tcW w:w="587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Wartość</w:t>
            </w:r>
          </w:p>
        </w:tc>
      </w:tr>
      <w:tr>
        <w:trPr/>
        <w:tc>
          <w:tcPr>
            <w:tcW w:w="4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Nazwa przypadku użycia</w:t>
            </w:r>
          </w:p>
        </w:tc>
        <w:tc>
          <w:tcPr>
            <w:tcW w:w="58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Rejestracja nowego użytkownika</w:t>
            </w:r>
          </w:p>
        </w:tc>
      </w:tr>
      <w:tr>
        <w:trPr/>
        <w:tc>
          <w:tcPr>
            <w:tcW w:w="4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Cel</w:t>
            </w:r>
          </w:p>
        </w:tc>
        <w:tc>
          <w:tcPr>
            <w:tcW w:w="58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Utworzenie konta w systemie CryptoTrack</w:t>
            </w:r>
          </w:p>
        </w:tc>
      </w:tr>
      <w:tr>
        <w:trPr/>
        <w:tc>
          <w:tcPr>
            <w:tcW w:w="4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Warunki wstępne</w:t>
            </w:r>
          </w:p>
        </w:tc>
        <w:tc>
          <w:tcPr>
            <w:tcW w:w="58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Użytkownik nie jest zalogowany; e-mail nie jest zajęty</w:t>
            </w:r>
          </w:p>
        </w:tc>
      </w:tr>
      <w:tr>
        <w:trPr/>
        <w:tc>
          <w:tcPr>
            <w:tcW w:w="4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Warunek pomyślnego zakończenia</w:t>
            </w:r>
          </w:p>
        </w:tc>
        <w:tc>
          <w:tcPr>
            <w:tcW w:w="58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Konto utworzone, możliwe logowanie</w:t>
            </w:r>
          </w:p>
        </w:tc>
      </w:tr>
      <w:tr>
        <w:trPr/>
        <w:tc>
          <w:tcPr>
            <w:tcW w:w="4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Stan końcowy — niepowodzenie</w:t>
            </w:r>
          </w:p>
        </w:tc>
        <w:tc>
          <w:tcPr>
            <w:tcW w:w="58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Komunikat błędu (np. zajęty e-mail, słabe hasło)</w:t>
            </w:r>
          </w:p>
        </w:tc>
      </w:tr>
      <w:tr>
        <w:trPr/>
        <w:tc>
          <w:tcPr>
            <w:tcW w:w="4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Główni aktorzy</w:t>
            </w:r>
          </w:p>
        </w:tc>
        <w:tc>
          <w:tcPr>
            <w:tcW w:w="58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Użytkownik</w:t>
            </w:r>
          </w:p>
        </w:tc>
      </w:tr>
      <w:tr>
        <w:trPr/>
        <w:tc>
          <w:tcPr>
            <w:tcW w:w="43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Wywołanie</w:t>
            </w:r>
          </w:p>
        </w:tc>
        <w:tc>
          <w:tcPr>
            <w:tcW w:w="58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Wejście na /auth/login → „Zarejestruj się”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Główny przepływ: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Użytkownik otwiera formularz rejestracji.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Wprowadza e-mail, hasło, opcjonalnie nazwę wyświetlaną.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System waliduje dane i zapisuje użytkownika w tabeli </w:t>
      </w:r>
      <w:r>
        <w:rPr>
          <w:rStyle w:val="SourceText"/>
        </w:rPr>
        <w:t>users</w:t>
      </w:r>
      <w:r>
        <w:rPr/>
        <w:t xml:space="preserve">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843" w:leader="none"/>
        </w:tabs>
        <w:bidi w:val="0"/>
        <w:ind w:hanging="283" w:start="1843" w:end="1134"/>
        <w:jc w:val="start"/>
        <w:rPr/>
      </w:pPr>
      <w:r>
        <w:rPr/>
        <w:t xml:space="preserve">Użytkownik zostaje przekierowany do logowania lub automatycznie otrzymuje tokeny. 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7.2. Parowanie rozszerzenia Chrome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88"/>
        <w:gridCol w:w="5717"/>
      </w:tblGrid>
      <w:tr>
        <w:trPr/>
        <w:tc>
          <w:tcPr>
            <w:tcW w:w="448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Pole</w:t>
            </w:r>
          </w:p>
        </w:tc>
        <w:tc>
          <w:tcPr>
            <w:tcW w:w="571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Wartość</w:t>
            </w:r>
          </w:p>
        </w:tc>
      </w:tr>
      <w:tr>
        <w:trPr/>
        <w:tc>
          <w:tcPr>
            <w:tcW w:w="44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Nazwa przypadku użycia</w:t>
            </w:r>
          </w:p>
        </w:tc>
        <w:tc>
          <w:tcPr>
            <w:tcW w:w="57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Parowanie rozszerzenia</w:t>
            </w:r>
          </w:p>
        </w:tc>
      </w:tr>
      <w:tr>
        <w:trPr/>
        <w:tc>
          <w:tcPr>
            <w:tcW w:w="44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Cel</w:t>
            </w:r>
          </w:p>
        </w:tc>
        <w:tc>
          <w:tcPr>
            <w:tcW w:w="57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Powiązanie rozszerzenia z kontem użytkownika</w:t>
            </w:r>
          </w:p>
        </w:tc>
      </w:tr>
      <w:tr>
        <w:trPr/>
        <w:tc>
          <w:tcPr>
            <w:tcW w:w="44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Warunki wstępne</w:t>
            </w:r>
          </w:p>
        </w:tc>
        <w:tc>
          <w:tcPr>
            <w:tcW w:w="57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Użytkownik zalogowany w aplikacji web</w:t>
            </w:r>
          </w:p>
        </w:tc>
      </w:tr>
      <w:tr>
        <w:trPr/>
        <w:tc>
          <w:tcPr>
            <w:tcW w:w="44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Warunek pomyślnego zakończenia</w:t>
            </w:r>
          </w:p>
        </w:tc>
        <w:tc>
          <w:tcPr>
            <w:tcW w:w="57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Token rozszerzenia zapisany w chrome.storage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Główny przepływ: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W Settings użytkownik generuje 6-cyfrowy kod parowania.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W popup rozszerzenia wpisuje kod i klika Connect.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1843" w:leader="none"/>
        </w:tabs>
        <w:bidi w:val="0"/>
        <w:ind w:hanging="283" w:start="1843" w:end="1134"/>
        <w:jc w:val="start"/>
        <w:rPr/>
      </w:pPr>
      <w:r>
        <w:rPr/>
        <w:t>API weryfikuje kod (</w:t>
      </w:r>
      <w:r>
        <w:rPr>
          <w:rStyle w:val="SourceText"/>
        </w:rPr>
        <w:t>POST /auth/extension/pair</w:t>
      </w:r>
      <w:r>
        <w:rPr/>
        <w:t xml:space="preserve">) i zwraca bearer token. 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7.3. Synchronizacja transakcji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80"/>
        <w:gridCol w:w="6225"/>
      </w:tblGrid>
      <w:tr>
        <w:trPr/>
        <w:tc>
          <w:tcPr>
            <w:tcW w:w="398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Pole</w:t>
            </w:r>
          </w:p>
        </w:tc>
        <w:tc>
          <w:tcPr>
            <w:tcW w:w="622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Wartość</w:t>
            </w:r>
          </w:p>
        </w:tc>
      </w:tr>
      <w:tr>
        <w:trPr/>
        <w:tc>
          <w:tcPr>
            <w:tcW w:w="39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Nazwa przypadku użycia</w:t>
            </w:r>
          </w:p>
        </w:tc>
        <w:tc>
          <w:tcPr>
            <w:tcW w:w="62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Synchronizacja transakcji karty</w:t>
            </w:r>
          </w:p>
        </w:tc>
      </w:tr>
      <w:tr>
        <w:trPr/>
        <w:tc>
          <w:tcPr>
            <w:tcW w:w="39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Warunki wstępne</w:t>
            </w:r>
          </w:p>
        </w:tc>
        <w:tc>
          <w:tcPr>
            <w:tcW w:w="62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Rozszerzenie sparowane; otwarta karta MetaMask w przeglądarce</w:t>
            </w:r>
          </w:p>
        </w:tc>
      </w:tr>
      <w:tr>
        <w:trPr/>
        <w:tc>
          <w:tcPr>
            <w:tcW w:w="39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Warunek pomyślnego zakończenia</w:t>
            </w:r>
          </w:p>
        </w:tc>
        <w:tc>
          <w:tcPr>
            <w:tcW w:w="62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Transakcje widoczne w /transactions</w:t>
            </w:r>
          </w:p>
        </w:tc>
      </w:tr>
    </w:tbl>
    <w:p>
      <w:pPr>
        <w:pStyle w:val="BodyText"/>
        <w:numPr>
          <w:ilvl w:val="0"/>
          <w:numId w:val="19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Użytkownik otwiera card.metamask.io i klika „Sync now” w rozszerzeniu.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Content script scrapuje wiersze tabeli transakcji.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Background normalizuje dane i wysyła POST sync z tokenem.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1843" w:leader="none"/>
        </w:tabs>
        <w:bidi w:val="0"/>
        <w:ind w:hanging="283" w:start="1843" w:end="1134"/>
        <w:jc w:val="start"/>
        <w:rPr/>
      </w:pPr>
      <w:r>
        <w:rPr/>
        <w:t xml:space="preserve">API wykonuje upsert w tabeli </w:t>
      </w:r>
      <w:r>
        <w:rPr>
          <w:rStyle w:val="SourceText"/>
        </w:rPr>
        <w:t>transactions</w:t>
      </w:r>
      <w:r>
        <w:rPr/>
        <w:t xml:space="preserve">. 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7.4. Automatyczna kategoryzacja wydatków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Użytkownik wchodzi w Categories → Categorize spendings.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System skanuje nieprzypisane merchanty; najpierw dopasowuje z CardMerchantMemory.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Pozostałe merchanty kierowane do OpenAI; wynik zapisywany i uczy pamięci.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1843" w:leader="none"/>
        </w:tabs>
        <w:bidi w:val="0"/>
        <w:ind w:hanging="283" w:start="1843" w:end="1134"/>
        <w:jc w:val="start"/>
        <w:rPr/>
      </w:pPr>
      <w:r>
        <w:rPr/>
        <w:t xml:space="preserve">Użytkownik widzi postęp w CardCategorizationRun. 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7.5. Przeglądanie analityki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Użytkownik otwiera /analytics.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Wybiera zakres dat.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1843" w:leader="none"/>
        </w:tabs>
        <w:bidi w:val="0"/>
        <w:ind w:hanging="283" w:start="1843" w:end="1134"/>
        <w:jc w:val="start"/>
        <w:rPr/>
      </w:pPr>
      <w:r>
        <w:rPr/>
        <w:t xml:space="preserve">API zwraca agregaty; frontend renderuje wykresy (Recharts). </w:t>
      </w:r>
    </w:p>
    <w:p>
      <w:pPr>
        <w:pStyle w:val="Heading1"/>
        <w:bidi w:val="0"/>
        <w:jc w:val="center"/>
        <w:rPr/>
      </w:pPr>
      <w:r>
        <w:rPr/>
        <w:t>8. Diagramy czynności (UML)</w:t>
      </w:r>
    </w:p>
    <w:p>
      <w:pPr>
        <w:pStyle w:val="BodyText"/>
        <w:bidi w:val="0"/>
        <w:spacing w:before="180" w:after="180"/>
        <w:ind w:hanging="0" w:start="180" w:end="180"/>
        <w:jc w:val="center"/>
        <w:rPr>
          <w:i/>
          <w:color w:val="555555"/>
          <w:bdr w:val="dashed" w:sz="12" w:space="18" w:color="888888"/>
          <w:shd w:fill="F9F9F9" w:val="clear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2125" cy="75247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752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color w:val="555555"/>
          <w:bdr w:val="dashed" w:sz="12" w:space="18" w:color="888888"/>
          <w:shd w:fill="F9F9F9" w:val="clear"/>
        </w:rPr>
        <w:br/>
        <w:t xml:space="preserve">Diagram czynności: Rejestracja użytkownika </w:t>
        <w:br/>
      </w:r>
    </w:p>
    <w:p>
      <w:pPr>
        <w:pStyle w:val="BodyText"/>
        <w:bidi w:val="0"/>
        <w:spacing w:before="180" w:after="180"/>
        <w:ind w:hanging="0" w:start="180" w:end="180"/>
        <w:jc w:val="center"/>
        <w:rPr>
          <w:i/>
          <w:color w:val="555555"/>
          <w:bdr w:val="dashed" w:sz="12" w:space="18" w:color="888888"/>
          <w:shd w:fill="F9F9F9" w:val="clear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62450" cy="988695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988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color w:val="555555"/>
          <w:bdr w:val="dashed" w:sz="12" w:space="18" w:color="888888"/>
          <w:shd w:fill="F9F9F9" w:val="clear"/>
        </w:rPr>
        <w:br/>
        <w:t>Diagram czynności: Parowanie rozszerzenia</w:t>
      </w:r>
    </w:p>
    <w:p>
      <w:pPr>
        <w:pStyle w:val="BodyText"/>
        <w:bidi w:val="0"/>
        <w:spacing w:before="180" w:after="180"/>
        <w:ind w:hanging="0" w:start="0" w:end="180"/>
        <w:jc w:val="center"/>
        <w:rPr>
          <w:i/>
          <w:color w:val="555555"/>
          <w:bdr w:val="dashed" w:sz="12" w:space="18" w:color="888888"/>
          <w:shd w:fill="F9F9F9" w:val="clear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51575" cy="581469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575" cy="5814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color w:val="555555"/>
          <w:bdr w:val="dashed" w:sz="12" w:space="18" w:color="888888"/>
          <w:shd w:fill="F9F9F9" w:val="clear"/>
        </w:rPr>
        <w:br/>
        <w:t>Diagram czynności: Synchronizacja transakcji</w:t>
      </w:r>
    </w:p>
    <w:p>
      <w:pPr>
        <w:pStyle w:val="BodyText"/>
        <w:bidi w:val="0"/>
        <w:spacing w:before="180" w:after="180"/>
        <w:ind w:hanging="0" w:start="180" w:end="180"/>
        <w:jc w:val="center"/>
        <w:rPr>
          <w:i/>
          <w:color w:val="555555"/>
          <w:bdr w:val="dashed" w:sz="12" w:space="18" w:color="888888"/>
          <w:shd w:fill="F9F9F9" w:val="clear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51575" cy="893127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575" cy="893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color w:val="555555"/>
          <w:bdr w:val="dashed" w:sz="12" w:space="18" w:color="888888"/>
          <w:shd w:fill="F9F9F9" w:val="clear"/>
        </w:rPr>
        <w:br/>
        <w:t>Diagram czynności: Automatyczna kategoryzacja (AI)</w:t>
      </w:r>
    </w:p>
    <w:p>
      <w:pPr>
        <w:pStyle w:val="Heading1"/>
        <w:bidi w:val="0"/>
        <w:jc w:val="center"/>
        <w:rPr/>
      </w:pPr>
      <w:r>
        <w:rPr/>
        <w:t>9. Diagram ERD</w:t>
      </w:r>
    </w:p>
    <w:p>
      <w:pPr>
        <w:pStyle w:val="BodyText"/>
        <w:bidi w:val="0"/>
        <w:spacing w:before="180" w:after="180"/>
        <w:ind w:hanging="0" w:start="180" w:end="180"/>
        <w:jc w:val="center"/>
        <w:rPr>
          <w:rStyle w:val="SourceText"/>
          <w:i/>
          <w:color w:val="555555"/>
          <w:bdr w:val="dashed" w:sz="12" w:space="18" w:color="888888"/>
          <w:shd w:fill="F9F9F9" w:val="clear"/>
        </w:rPr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51575" cy="403860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575" cy="403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jc w:val="center"/>
        <w:rPr/>
      </w:pPr>
      <w:r>
        <w:rPr/>
        <w:t>10. Diagram klas (UML)</w:t>
      </w:r>
    </w:p>
    <w:p>
      <w:pPr>
        <w:pStyle w:val="BodyText"/>
        <w:bidi w:val="0"/>
        <w:spacing w:before="180" w:after="180"/>
        <w:ind w:hanging="0" w:start="180" w:end="180"/>
        <w:jc w:val="center"/>
        <w:rPr>
          <w:i/>
          <w:color w:val="555555"/>
          <w:bdr w:val="dashed" w:sz="12" w:space="18" w:color="888888"/>
          <w:shd w:fill="F9F9F9" w:val="clear"/>
        </w:rPr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51575" cy="473900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575" cy="4739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jc w:val="center"/>
        <w:rPr/>
      </w:pPr>
      <w:r>
        <w:rPr/>
        <w:t>11. Diagram sekwencji (UML)</w:t>
      </w:r>
    </w:p>
    <w:p>
      <w:pPr>
        <w:pStyle w:val="BodyText"/>
        <w:bidi w:val="0"/>
        <w:spacing w:before="180" w:after="180"/>
        <w:ind w:hanging="0" w:start="180" w:end="180"/>
        <w:jc w:val="center"/>
        <w:rPr>
          <w:i/>
          <w:color w:val="555555"/>
          <w:bdr w:val="dashed" w:sz="12" w:space="18" w:color="888888"/>
          <w:shd w:fill="F9F9F9" w:val="clear"/>
        </w:rPr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51575" cy="295084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575" cy="295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jc w:val="center"/>
        <w:rPr/>
      </w:pPr>
      <w:r>
        <w:rPr/>
        <w:t>12. Diagram stanów (UML)</w:t>
      </w:r>
    </w:p>
    <w:p>
      <w:pPr>
        <w:pStyle w:val="BodyText"/>
        <w:bidi w:val="0"/>
        <w:spacing w:before="180" w:after="180"/>
        <w:ind w:hanging="0" w:start="180" w:end="180"/>
        <w:jc w:val="center"/>
        <w:rPr>
          <w:i/>
          <w:color w:val="555555"/>
          <w:bdr w:val="dashed" w:sz="12" w:space="18" w:color="888888"/>
          <w:shd w:fill="F9F9F9" w:val="clear"/>
        </w:rPr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48275" cy="552450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552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jc w:val="center"/>
        <w:rPr/>
      </w:pPr>
      <w:r>
        <w:rPr/>
        <w:t>13. Diagram komponentów i wdrożenia (UML)</w:t>
      </w:r>
    </w:p>
    <w:p>
      <w:pPr>
        <w:pStyle w:val="BodyText"/>
        <w:bidi w:val="0"/>
        <w:spacing w:before="180" w:after="180"/>
        <w:ind w:hanging="0" w:start="180" w:end="180"/>
        <w:jc w:val="center"/>
        <w:rPr>
          <w:rStyle w:val="SourceText"/>
          <w:i/>
          <w:color w:val="555555"/>
          <w:bdr w:val="dashed" w:sz="12" w:space="18" w:color="888888"/>
          <w:shd w:fill="F9F9F9" w:val="clear"/>
        </w:rPr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51575" cy="354203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575" cy="3542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jc w:val="center"/>
        <w:rPr/>
      </w:pPr>
      <w:r>
        <w:rPr/>
        <w:t>14. Plan procesu testowania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14.1. Testy automatyczne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>
          <w:rStyle w:val="Strong"/>
        </w:rPr>
        <w:t>Testy jednostkowe</w:t>
      </w:r>
      <w:r>
        <w:rPr/>
        <w:t xml:space="preserve"> — Jest: </w:t>
      </w:r>
      <w:r>
        <w:rPr>
          <w:rStyle w:val="SourceText"/>
        </w:rPr>
        <w:t>card-transactions.service.spec.ts</w:t>
      </w:r>
      <w:r>
        <w:rPr/>
        <w:t xml:space="preserve">, </w:t>
      </w:r>
      <w:r>
        <w:rPr>
          <w:rStyle w:val="SourceText"/>
        </w:rPr>
        <w:t>card-merchant-auto-categorize.spec.ts</w:t>
      </w:r>
      <w:r>
        <w:rPr/>
        <w:t xml:space="preserve">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1843" w:leader="none"/>
        </w:tabs>
        <w:bidi w:val="0"/>
        <w:ind w:hanging="283" w:start="1843" w:end="1134"/>
        <w:jc w:val="start"/>
        <w:rPr/>
      </w:pPr>
      <w:r>
        <w:rPr>
          <w:rStyle w:val="Strong"/>
        </w:rPr>
        <w:t>Testy integracyjne</w:t>
      </w:r>
      <w:r>
        <w:rPr/>
        <w:t xml:space="preserve"> — (planowane) endpointy auth i sync z testową bazą. 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14.2. Testy manualne</w:t>
      </w:r>
    </w:p>
    <w:p>
      <w:pPr>
        <w:pStyle w:val="BodyText"/>
        <w:bidi w:val="0"/>
        <w:spacing w:before="0" w:after="283"/>
        <w:jc w:val="start"/>
        <w:rPr/>
      </w:pPr>
      <w:r>
        <w:rPr/>
        <w:t>Scenariusze opisane w rozdziale 19 — wykonywane przez testera na środowisku dev (web + API + rozszerzenie).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14.3. Utrzymanie</w:t>
      </w:r>
    </w:p>
    <w:p>
      <w:pPr>
        <w:pStyle w:val="BodyText"/>
        <w:bidi w:val="0"/>
        <w:spacing w:before="0" w:after="283"/>
        <w:jc w:val="start"/>
        <w:rPr/>
      </w:pPr>
      <w:r>
        <w:rPr/>
        <w:t>Po wdrożeniu: raportowanie błędów, poprawki w kolejnych wersjach, migracje Prisma.</w:t>
      </w:r>
    </w:p>
    <w:p>
      <w:pPr>
        <w:pStyle w:val="Heading1"/>
        <w:bidi w:val="0"/>
        <w:jc w:val="center"/>
        <w:rPr/>
      </w:pPr>
      <w:r>
        <w:rPr/>
        <w:t>15. Raport z analizy rynku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15.1. Funkcje kluczowe CryptoTrack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Specjalizacja w MetaMask Card (nie ogólny eksplorator blockchain).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Kategoryzacja wydatków z AI i pamięcią merchantów.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1843" w:leader="none"/>
        </w:tabs>
        <w:bidi w:val="0"/>
        <w:ind w:hanging="283" w:start="1843" w:end="1134"/>
        <w:jc w:val="start"/>
        <w:rPr/>
      </w:pPr>
      <w:r>
        <w:rPr/>
        <w:t xml:space="preserve">Rozszerzenie do synchronizacji bez ręcznego importu CSV. 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15.2. Porównanie z konkurencją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 xml:space="preserve">❖ </w:t>
      </w:r>
      <w:r>
        <w:rPr>
          <w:rStyle w:val="Strong"/>
        </w:rPr>
        <w:t>Koinly / CoinTracker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Zalety: szerokie wsparcie podatków i wielu giełd.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1843" w:leader="none"/>
        </w:tabs>
        <w:bidi w:val="0"/>
        <w:ind w:hanging="283" w:start="1843" w:end="1134"/>
        <w:jc w:val="start"/>
        <w:rPr/>
      </w:pPr>
      <w:r>
        <w:rPr/>
        <w:t xml:space="preserve">Wady: mniej nastawione na codzienne wydatki kartą DeFi; wyższy próg wejścia. 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 xml:space="preserve">❖ </w:t>
      </w:r>
      <w:r>
        <w:rPr>
          <w:rStyle w:val="Strong"/>
        </w:rPr>
        <w:t>Rotki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Zalety: open source, lokalna kontrola danych.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1843" w:leader="none"/>
        </w:tabs>
        <w:bidi w:val="0"/>
        <w:ind w:hanging="283" w:start="1843" w:end="1134"/>
        <w:jc w:val="start"/>
        <w:rPr/>
      </w:pPr>
      <w:r>
        <w:rPr/>
        <w:t xml:space="preserve">Wady: wymaga ręcznej konfiguracji; brak dedykowanego flow MetaMask Card. 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 xml:space="preserve">❖ </w:t>
      </w:r>
      <w:r>
        <w:rPr>
          <w:rStyle w:val="Strong"/>
        </w:rPr>
        <w:t>Aplikacje bankowe tradycyjne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Zalety: gotowa kategoryzacja i UX.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1843" w:leader="none"/>
        </w:tabs>
        <w:bidi w:val="0"/>
        <w:ind w:hanging="283" w:start="1843" w:end="1134"/>
        <w:jc w:val="start"/>
        <w:rPr/>
      </w:pPr>
      <w:r>
        <w:rPr/>
        <w:t xml:space="preserve">Wady: nie obejmują wydatków kartą krypto MetaMask. 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15.3. Podsumowanie</w:t>
      </w:r>
    </w:p>
    <w:p>
      <w:pPr>
        <w:pStyle w:val="BodyText"/>
        <w:bidi w:val="0"/>
        <w:spacing w:before="0" w:after="283"/>
        <w:jc w:val="start"/>
        <w:rPr/>
      </w:pPr>
      <w:r>
        <w:rPr/>
        <w:t>CryptoTrack wypełnia niszę „expense tracker dla MetaMask Card”. Wybór narzędzia zależy od tego, czy użytkownik potrzebuje raportów podatkowych on-chain, czy przejrzystego budżetu kartowej.</w:t>
      </w:r>
    </w:p>
    <w:p>
      <w:pPr>
        <w:pStyle w:val="Heading1"/>
        <w:bidi w:val="0"/>
        <w:jc w:val="center"/>
        <w:rPr/>
      </w:pPr>
      <w:r>
        <w:rPr/>
        <w:t>16. Struktura bazy danych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16.1. Model koncepcyjny</w:t>
      </w:r>
    </w:p>
    <w:p>
      <w:pPr>
        <w:pStyle w:val="BodyText"/>
        <w:bidi w:val="0"/>
        <w:spacing w:before="180" w:after="180"/>
        <w:ind w:hanging="0" w:start="180" w:end="180"/>
        <w:jc w:val="center"/>
        <w:rPr>
          <w:i/>
          <w:color w:val="555555"/>
          <w:bdr w:val="dashed" w:sz="12" w:space="18" w:color="888888"/>
          <w:shd w:fill="F9F9F9" w:val="clear"/>
        </w:rPr>
      </w:pPr>
      <w:r>
        <w:rPr>
          <w:i/>
          <w:color w:val="555555"/>
          <w:bdr w:val="dashed" w:sz="12" w:space="18" w:color="888888"/>
          <w:shd w:fill="F9F9F9" w:val="clear"/>
        </w:rPr>
        <w:t>[WSTAW SCREENSHOT]</w:t>
        <w:br/>
        <w:t>Ten sam co diagram ERD (rozdz. 9) lub uproszczony model koncepcyjny bez typów SQL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16.2. Model logiczny</w:t>
      </w:r>
    </w:p>
    <w:p>
      <w:pPr>
        <w:pStyle w:val="BodyText"/>
        <w:bidi w:val="0"/>
        <w:spacing w:before="0" w:after="283"/>
        <w:jc w:val="start"/>
        <w:rPr/>
      </w:pPr>
      <w:r>
        <w:rPr/>
        <w:t>Encje: User (1) — (N) Transaction, Category, Session, ExtensionToken, CardMerchantMemory, CardCategorizationRun; User (1) — (1) PortfolioAccount; Category (1) — (N) SubCategory (self-reference parentId).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16.3. Model fizyczny</w:t>
      </w:r>
    </w:p>
    <w:p>
      <w:pPr>
        <w:pStyle w:val="BodyText"/>
        <w:bidi w:val="0"/>
        <w:spacing w:before="0" w:after="283"/>
        <w:jc w:val="start"/>
        <w:rPr/>
      </w:pPr>
      <w:r>
        <w:rPr/>
        <w:t>PostgreSQL; ORM Prisma; tabele: users, sessions, transactions, categories, card_merchant_memory, card_categorization_runs, extension_tokens, portfolio_accounts.</w:t>
      </w:r>
    </w:p>
    <w:p>
      <w:pPr>
        <w:pStyle w:val="Heading1"/>
        <w:bidi w:val="0"/>
        <w:jc w:val="center"/>
        <w:rPr/>
      </w:pPr>
      <w:r>
        <w:rPr/>
        <w:t>17. Dokumentacja bezpieczeństwa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17.1. Szyfrowanie w tranzycie</w:t>
      </w:r>
    </w:p>
    <w:p>
      <w:pPr>
        <w:pStyle w:val="BodyText"/>
        <w:bidi w:val="0"/>
        <w:spacing w:before="0" w:after="283"/>
        <w:jc w:val="start"/>
        <w:rPr/>
      </w:pPr>
      <w:r>
        <w:rPr/>
        <w:t>HTTPS (TLS 1.2+) między przeglądarką a API w produkcji.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17.2. Szyfrowanie w spoczynku</w:t>
      </w:r>
    </w:p>
    <w:p>
      <w:pPr>
        <w:pStyle w:val="BodyText"/>
        <w:bidi w:val="0"/>
        <w:spacing w:before="0" w:after="283"/>
        <w:jc w:val="start"/>
        <w:rPr/>
      </w:pPr>
      <w:r>
        <w:rPr/>
        <w:t>Hasła: bcrypt hash. Tokeny rozszerzenia i refresh: przechowywane jako hash w bazie. Szyfrowanie dysku — zależne od dostawcy hostingu PostgreSQL.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17.3. Uwierzytelnianie</w:t>
      </w:r>
    </w:p>
    <w:p>
      <w:pPr>
        <w:pStyle w:val="BodyText"/>
        <w:bidi w:val="0"/>
        <w:spacing w:before="0" w:after="283"/>
        <w:jc w:val="start"/>
        <w:rPr/>
      </w:pPr>
      <w:r>
        <w:rPr/>
        <w:t>JWT access + refresh token w tabeli sessions; opcjonalnie SIWE dla portfela Ethereum.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17.4. Ochrona przed atakami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Walidacja wejścia (DTO, class-validator) — ochrona przed injection.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1843" w:leader="none"/>
        </w:tabs>
        <w:bidi w:val="0"/>
        <w:spacing w:before="0" w:after="0"/>
        <w:ind w:hanging="283" w:start="1843" w:end="1134"/>
        <w:jc w:val="start"/>
        <w:rPr/>
      </w:pPr>
      <w:r>
        <w:rPr/>
        <w:t xml:space="preserve">Prisma parameterized queries — ochrona przed SQL injection.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1843" w:leader="none"/>
        </w:tabs>
        <w:bidi w:val="0"/>
        <w:ind w:hanging="283" w:start="1843" w:end="1134"/>
        <w:jc w:val="start"/>
        <w:rPr/>
      </w:pPr>
      <w:r>
        <w:rPr/>
        <w:t xml:space="preserve">Rate limiting (planowane na produkcji). 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17.5. Uprawnienia</w:t>
      </w:r>
    </w:p>
    <w:p>
      <w:pPr>
        <w:pStyle w:val="BodyText"/>
        <w:bidi w:val="0"/>
        <w:spacing w:before="0" w:after="283"/>
        <w:jc w:val="start"/>
        <w:rPr/>
      </w:pPr>
      <w:r>
        <w:rPr/>
        <w:t>Model single-tenant: każdy użytkownik widzi wyłącznie swoje transakcje (</w:t>
      </w:r>
      <w:r>
        <w:rPr>
          <w:rStyle w:val="SourceText"/>
        </w:rPr>
        <w:t>userId</w:t>
      </w:r>
      <w:r>
        <w:rPr/>
        <w:t xml:space="preserve"> w każdym zapytaniu).</w:t>
      </w:r>
    </w:p>
    <w:p>
      <w:pPr>
        <w:pStyle w:val="Heading1"/>
        <w:bidi w:val="0"/>
        <w:jc w:val="center"/>
        <w:rPr/>
      </w:pPr>
      <w:r>
        <w:rPr/>
        <w:t>18. Kod SQL (PostgreSQL)</w:t>
      </w:r>
    </w:p>
    <w:p>
      <w:pPr>
        <w:pStyle w:val="BodyText"/>
        <w:bidi w:val="0"/>
        <w:spacing w:before="0" w:after="283"/>
        <w:jc w:val="start"/>
        <w:rPr/>
      </w:pPr>
      <w:r>
        <w:rPr/>
        <w:t>Poniżej fragment schematu wygenerowanego przez Prisma Migrate (dialekt PostgreSQL).</w:t>
      </w:r>
    </w:p>
    <w:p>
      <w:pPr>
        <w:pStyle w:val="PreformattedText"/>
        <w:bidi w:val="0"/>
        <w:spacing w:lineRule="auto" w:line="240" w:before="114" w:after="114"/>
        <w:jc w:val="start"/>
        <w:rPr/>
      </w:pPr>
      <w:r>
        <w:rPr/>
        <w:t>CREATE TABLE "users" (</w:t>
      </w:r>
    </w:p>
    <w:p>
      <w:pPr>
        <w:pStyle w:val="PreformattedText"/>
        <w:bidi w:val="0"/>
        <w:spacing w:lineRule="auto" w:line="240" w:before="114" w:after="114"/>
        <w:jc w:val="start"/>
        <w:rPr/>
      </w:pPr>
      <w:r>
        <w:rPr/>
        <w:t xml:space="preserve">    </w:t>
      </w:r>
      <w:r>
        <w:rPr/>
        <w:t>"id" TEXT NOT NULL,</w:t>
      </w:r>
    </w:p>
    <w:p>
      <w:pPr>
        <w:pStyle w:val="PreformattedText"/>
        <w:bidi w:val="0"/>
        <w:spacing w:lineRule="auto" w:line="240" w:before="114" w:after="114"/>
        <w:jc w:val="start"/>
        <w:rPr/>
      </w:pPr>
      <w:r>
        <w:rPr/>
        <w:t xml:space="preserve">    </w:t>
      </w:r>
      <w:r>
        <w:rPr/>
        <w:t>"email" TEXT NOT NULL,</w:t>
      </w:r>
    </w:p>
    <w:p>
      <w:pPr>
        <w:pStyle w:val="PreformattedText"/>
        <w:bidi w:val="0"/>
        <w:spacing w:lineRule="auto" w:line="240" w:before="114" w:after="114"/>
        <w:jc w:val="start"/>
        <w:rPr/>
      </w:pPr>
      <w:r>
        <w:rPr/>
        <w:t xml:space="preserve">    </w:t>
      </w:r>
      <w:r>
        <w:rPr/>
        <w:t>"passwordHash" TEXT,</w:t>
      </w:r>
    </w:p>
    <w:p>
      <w:pPr>
        <w:pStyle w:val="PreformattedText"/>
        <w:bidi w:val="0"/>
        <w:spacing w:lineRule="auto" w:line="240" w:before="114" w:after="114"/>
        <w:jc w:val="start"/>
        <w:rPr/>
      </w:pPr>
      <w:r>
        <w:rPr/>
        <w:t xml:space="preserve">    </w:t>
      </w:r>
      <w:r>
        <w:rPr/>
        <w:t>"displayName" TEXT,</w:t>
      </w:r>
    </w:p>
    <w:p>
      <w:pPr>
        <w:pStyle w:val="PreformattedText"/>
        <w:bidi w:val="0"/>
        <w:spacing w:lineRule="auto" w:line="240" w:before="114" w:after="114"/>
        <w:jc w:val="start"/>
        <w:rPr/>
      </w:pPr>
      <w:r>
        <w:rPr/>
        <w:t xml:space="preserve">    </w:t>
      </w:r>
      <w:r>
        <w:rPr/>
        <w:t>"createdAt" TIMESTAMP(3) NOT NULL DEFAULT CURRENT_TIMESTAMP,</w:t>
      </w:r>
    </w:p>
    <w:p>
      <w:pPr>
        <w:pStyle w:val="PreformattedText"/>
        <w:bidi w:val="0"/>
        <w:spacing w:lineRule="auto" w:line="240" w:before="114" w:after="114"/>
        <w:jc w:val="start"/>
        <w:rPr/>
      </w:pPr>
      <w:r>
        <w:rPr/>
        <w:t xml:space="preserve">    </w:t>
      </w:r>
      <w:r>
        <w:rPr/>
        <w:t>"updatedAt" TIMESTAMP(3) NOT NULL,</w:t>
      </w:r>
    </w:p>
    <w:p>
      <w:pPr>
        <w:pStyle w:val="PreformattedText"/>
        <w:bidi w:val="0"/>
        <w:spacing w:lineRule="auto" w:line="240" w:before="114" w:after="114"/>
        <w:jc w:val="start"/>
        <w:rPr/>
      </w:pPr>
      <w:r>
        <w:rPr/>
        <w:t xml:space="preserve">    </w:t>
      </w:r>
      <w:r>
        <w:rPr/>
        <w:t>CONSTRAINT "users_pkey" PRIMARY KEY ("id")</w:t>
      </w:r>
    </w:p>
    <w:p>
      <w:pPr>
        <w:pStyle w:val="PreformattedText"/>
        <w:bidi w:val="0"/>
        <w:spacing w:lineRule="auto" w:line="240" w:before="114" w:after="114"/>
        <w:jc w:val="start"/>
        <w:rPr/>
      </w:pPr>
      <w:r>
        <w:rPr/>
        <w:t>);</w:t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  <w:t>CREATE UNIQUE INDEX "users_email_key" ON "users"("email");</w:t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  <w:t>CREATE TABLE "transactions" (</w:t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  <w:t xml:space="preserve">    </w:t>
      </w:r>
      <w:r>
        <w:rPr>
          <w:color w:val="auto"/>
          <w:lang w:val="en-US" w:eastAsia="zh-CN" w:bidi="hi-IN"/>
        </w:rPr>
        <w:t>"id" TEXT NOT NULL,</w:t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  <w:t xml:space="preserve">    </w:t>
      </w:r>
      <w:r>
        <w:rPr>
          <w:color w:val="auto"/>
          <w:lang w:val="en-US" w:eastAsia="zh-CN" w:bidi="hi-IN"/>
        </w:rPr>
        <w:t>"userId" TEXT NOT NULL,</w:t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  <w:t xml:space="preserve">    </w:t>
      </w:r>
      <w:r>
        <w:rPr>
          <w:color w:val="auto"/>
          <w:lang w:val="en-US" w:eastAsia="zh-CN" w:bidi="hi-IN"/>
        </w:rPr>
        <w:t>"source" "TransactionSource" NOT NULL DEFAULT 'CARD',</w:t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  <w:t xml:space="preserve">    </w:t>
      </w:r>
      <w:r>
        <w:rPr>
          <w:color w:val="auto"/>
          <w:lang w:val="en-US" w:eastAsia="zh-CN" w:bidi="hi-IN"/>
        </w:rPr>
        <w:t>"externalId" TEXT NOT NULL,</w:t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  <w:t xml:space="preserve">    </w:t>
      </w:r>
      <w:r>
        <w:rPr>
          <w:color w:val="auto"/>
          <w:lang w:val="en-US" w:eastAsia="zh-CN" w:bidi="hi-IN"/>
        </w:rPr>
        <w:t>"timestamp" TIMESTAMP(3) NOT NULL,</w:t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  <w:t xml:space="preserve">    </w:t>
      </w:r>
      <w:r>
        <w:rPr>
          <w:color w:val="auto"/>
          <w:lang w:val="en-US" w:eastAsia="zh-CN" w:bidi="hi-IN"/>
        </w:rPr>
        <w:t>"merchantName" TEXT,</w:t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  <w:t xml:space="preserve">    </w:t>
      </w:r>
      <w:r>
        <w:rPr>
          <w:color w:val="auto"/>
          <w:lang w:val="en-US" w:eastAsia="zh-CN" w:bidi="hi-IN"/>
        </w:rPr>
        <w:t>"fiatAmount" DECIMAL(18,2),</w:t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  <w:t xml:space="preserve">    </w:t>
      </w:r>
      <w:r>
        <w:rPr>
          <w:color w:val="auto"/>
          <w:lang w:val="en-US" w:eastAsia="zh-CN" w:bidi="hi-IN"/>
        </w:rPr>
        <w:t>"categoryId" TEXT,</w:t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  <w:t xml:space="preserve">    </w:t>
      </w:r>
      <w:r>
        <w:rPr>
          <w:color w:val="auto"/>
          <w:lang w:val="en-US" w:eastAsia="zh-CN" w:bidi="hi-IN"/>
        </w:rPr>
        <w:t>"subcategoryId" TEXT,</w:t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  <w:t xml:space="preserve">    </w:t>
      </w:r>
      <w:r>
        <w:rPr>
          <w:color w:val="auto"/>
          <w:lang w:val="en-US" w:eastAsia="zh-CN" w:bidi="hi-IN"/>
        </w:rPr>
        <w:t>CONSTRAINT "transactions_pkey" PRIMARY KEY ("id"),</w:t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  <w:t xml:space="preserve">    </w:t>
      </w:r>
      <w:r>
        <w:rPr>
          <w:color w:val="auto"/>
          <w:lang w:val="en-US" w:eastAsia="zh-CN" w:bidi="hi-IN"/>
        </w:rPr>
        <w:t>CONSTRAINT "transactions_userId_fkey" FOREIGN KEY ("userId") REFERENCES "users"("id") ON DELETE CASCADE</w:t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  <w:t>);</w:t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  <w:t>CREATE UNIQUE INDEX "transactions_userId_source_externalId_key"</w:t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  <w:t xml:space="preserve">  </w:t>
      </w:r>
      <w:r>
        <w:rPr>
          <w:color w:val="auto"/>
          <w:lang w:val="en-US" w:eastAsia="zh-CN" w:bidi="hi-IN"/>
        </w:rPr>
        <w:t>ON "transactions"("userId", "source", "externalId");</w:t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Pełny schemat: </w:t>
      </w:r>
      <w:r>
        <w:rPr>
          <w:rStyle w:val="SourceText"/>
        </w:rPr>
        <w:t>packages/db/prisma/schema.prisma</w:t>
      </w:r>
      <w:r>
        <w:rPr/>
        <w:t xml:space="preserve"> oraz katalog </w:t>
      </w:r>
      <w:r>
        <w:rPr>
          <w:rStyle w:val="SourceText"/>
        </w:rPr>
        <w:t>prisma/migrations/</w:t>
      </w:r>
      <w:r>
        <w:rPr/>
        <w:t>.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18.2. Widok przykładowy (PostgreSQL)</w:t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  <w:t>CREATE VIEW v_user_spending_by_category AS</w:t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  <w:t>SELECT</w:t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  <w:t xml:space="preserve">  </w:t>
      </w:r>
      <w:r>
        <w:rPr>
          <w:color w:val="auto"/>
          <w:lang w:val="en-US" w:eastAsia="zh-CN" w:bidi="hi-IN"/>
        </w:rPr>
        <w:t>t."userId",</w:t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  <w:t xml:space="preserve">  </w:t>
      </w:r>
      <w:r>
        <w:rPr>
          <w:color w:val="auto"/>
          <w:lang w:val="en-US" w:eastAsia="zh-CN" w:bidi="hi-IN"/>
        </w:rPr>
        <w:t>c.name AS category_name,</w:t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  <w:t xml:space="preserve">  </w:t>
      </w:r>
      <w:r>
        <w:rPr>
          <w:color w:val="auto"/>
          <w:lang w:val="en-US" w:eastAsia="zh-CN" w:bidi="hi-IN"/>
        </w:rPr>
        <w:t>DATE_TRUNC('month', t."timestamp") AS month,</w:t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  <w:t xml:space="preserve">  </w:t>
      </w:r>
      <w:r>
        <w:rPr>
          <w:color w:val="auto"/>
          <w:lang w:val="en-US" w:eastAsia="zh-CN" w:bidi="hi-IN"/>
        </w:rPr>
        <w:t>SUM(t."fiatAmount") AS total_fiat</w:t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  <w:t>FROM transactions t</w:t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  <w:t>LEFT JOIN categories c ON c.id = t."categoryId"</w:t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  <w:t>WHERE t."fiatAmount" IS NOT NULL</w:t>
      </w:r>
    </w:p>
    <w:p>
      <w:pPr>
        <w:pStyle w:val="PreformattedText"/>
        <w:widowControl w:val="false"/>
        <w:suppressAutoHyphens w:val="true"/>
        <w:overflowPunct w:val="false"/>
        <w:bidi w:val="0"/>
        <w:spacing w:lineRule="auto" w:line="240" w:before="114" w:after="114"/>
        <w:ind w:start="1134" w:end="1134"/>
        <w:jc w:val="start"/>
        <w:rPr>
          <w:color w:val="auto"/>
          <w:lang w:val="en-US" w:eastAsia="zh-CN" w:bidi="hi-IN"/>
        </w:rPr>
      </w:pPr>
      <w:r>
        <w:rPr>
          <w:color w:val="auto"/>
          <w:lang w:val="en-US" w:eastAsia="zh-CN" w:bidi="hi-IN"/>
        </w:rPr>
        <w:t>GROUP BY t."userId", c.name, DATE_TRUNC('month', t."timestamp");</w:t>
      </w:r>
    </w:p>
    <w:p>
      <w:pPr>
        <w:pStyle w:val="Heading1"/>
        <w:bidi w:val="0"/>
        <w:jc w:val="center"/>
        <w:rPr/>
      </w:pPr>
      <w:r>
        <w:rPr/>
        <w:t>19. Przypadki testowe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19.1. Rejestracja — niespójne hasło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37"/>
        <w:gridCol w:w="4322"/>
        <w:gridCol w:w="4146"/>
      </w:tblGrid>
      <w:tr>
        <w:trPr/>
        <w:tc>
          <w:tcPr>
            <w:tcW w:w="173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0"/>
              <w:ind w:hanging="0" w:start="0"/>
              <w:jc w:val="start"/>
              <w:rPr/>
            </w:pPr>
            <w:r>
              <w:rPr/>
              <w:t>Nr</w:t>
            </w:r>
          </w:p>
        </w:tc>
        <w:tc>
          <w:tcPr>
            <w:tcW w:w="432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0"/>
              <w:jc w:val="start"/>
              <w:rPr/>
            </w:pPr>
            <w:r>
              <w:rPr/>
              <w:t>Krok</w:t>
            </w:r>
          </w:p>
        </w:tc>
        <w:tc>
          <w:tcPr>
            <w:tcW w:w="41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0"/>
              <w:jc w:val="start"/>
              <w:rPr/>
            </w:pPr>
            <w:r>
              <w:rPr/>
              <w:t>Rezultat</w:t>
            </w:r>
          </w:p>
        </w:tc>
      </w:tr>
      <w:tr>
        <w:trPr/>
        <w:tc>
          <w:tcPr>
            <w:tcW w:w="173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1</w:t>
            </w:r>
          </w:p>
        </w:tc>
        <w:tc>
          <w:tcPr>
            <w:tcW w:w="4322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Otwórz /auth/login → rejestracja</w:t>
            </w:r>
          </w:p>
        </w:tc>
        <w:tc>
          <w:tcPr>
            <w:tcW w:w="4146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Formularz rejestracji</w:t>
            </w:r>
          </w:p>
        </w:tc>
      </w:tr>
      <w:tr>
        <w:trPr/>
        <w:tc>
          <w:tcPr>
            <w:tcW w:w="173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2</w:t>
            </w:r>
          </w:p>
        </w:tc>
        <w:tc>
          <w:tcPr>
            <w:tcW w:w="4322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Wpisz różne hasła w polach Hasło i Powtórz</w:t>
            </w:r>
          </w:p>
        </w:tc>
        <w:tc>
          <w:tcPr>
            <w:tcW w:w="4146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73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3</w:t>
            </w:r>
          </w:p>
        </w:tc>
        <w:tc>
          <w:tcPr>
            <w:tcW w:w="4322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Kliknij Zarejestruj</w:t>
            </w:r>
          </w:p>
        </w:tc>
        <w:tc>
          <w:tcPr>
            <w:tcW w:w="4146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Komunikat błędu walidacji; brak konta</w:t>
            </w:r>
          </w:p>
        </w:tc>
      </w:tr>
    </w:tbl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19.2. Rejestracja — pomyślna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00"/>
        <w:gridCol w:w="3962"/>
        <w:gridCol w:w="4643"/>
      </w:tblGrid>
      <w:tr>
        <w:trPr/>
        <w:tc>
          <w:tcPr>
            <w:tcW w:w="160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0"/>
              <w:ind w:hanging="0" w:start="0"/>
              <w:jc w:val="center"/>
              <w:rPr/>
            </w:pPr>
            <w:r>
              <w:rPr/>
              <w:t>Nr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0"/>
              <w:jc w:val="center"/>
              <w:rPr/>
            </w:pPr>
            <w:r>
              <w:rPr/>
              <w:t>Krok</w:t>
            </w:r>
          </w:p>
        </w:tc>
        <w:tc>
          <w:tcPr>
            <w:tcW w:w="464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0"/>
              <w:jc w:val="center"/>
              <w:rPr/>
            </w:pPr>
            <w:r>
              <w:rPr/>
              <w:t>Rezultat</w:t>
            </w:r>
          </w:p>
        </w:tc>
      </w:tr>
      <w:tr>
        <w:trPr/>
        <w:tc>
          <w:tcPr>
            <w:tcW w:w="1600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1–2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Poprawne dane, unikalny e-mail</w:t>
            </w:r>
          </w:p>
        </w:tc>
        <w:tc>
          <w:tcPr>
            <w:tcW w:w="4643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600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3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Zarejestruj</w:t>
            </w:r>
          </w:p>
        </w:tc>
        <w:tc>
          <w:tcPr>
            <w:tcW w:w="4643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Przekierowanie / możliwość logowania</w:t>
            </w:r>
          </w:p>
        </w:tc>
      </w:tr>
    </w:tbl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19.3. Synchronizacja bez parowania</w:t>
      </w:r>
    </w:p>
    <w:tbl>
      <w:tblPr>
        <w:tblW w:w="994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34"/>
        <w:gridCol w:w="3298"/>
        <w:gridCol w:w="5110"/>
      </w:tblGrid>
      <w:tr>
        <w:trPr/>
        <w:tc>
          <w:tcPr>
            <w:tcW w:w="153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0"/>
              <w:jc w:val="center"/>
              <w:rPr/>
            </w:pPr>
            <w:r>
              <w:rPr/>
              <w:t>Nr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0"/>
              <w:jc w:val="center"/>
              <w:rPr/>
            </w:pPr>
            <w:r>
              <w:rPr/>
              <w:t>Krok</w:t>
            </w:r>
          </w:p>
        </w:tc>
        <w:tc>
          <w:tcPr>
            <w:tcW w:w="511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0"/>
              <w:jc w:val="center"/>
              <w:rPr/>
            </w:pPr>
            <w:r>
              <w:rPr/>
              <w:t>Rezultat</w:t>
            </w:r>
          </w:p>
        </w:tc>
      </w:tr>
      <w:tr>
        <w:trPr/>
        <w:tc>
          <w:tcPr>
            <w:tcW w:w="1534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1</w:t>
            </w:r>
          </w:p>
        </w:tc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Sync now bez tokenu</w:t>
            </w:r>
          </w:p>
        </w:tc>
        <w:tc>
          <w:tcPr>
            <w:tcW w:w="5110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Komunikat błędu w popup rozszerzenia</w:t>
            </w:r>
          </w:p>
        </w:tc>
      </w:tr>
    </w:tbl>
    <w:p>
      <w:pPr>
        <w:pStyle w:val="Heading1"/>
        <w:bidi w:val="0"/>
        <w:jc w:val="center"/>
        <w:rPr/>
      </w:pPr>
      <w:r>
        <w:rPr/>
        <w:t>20. Testy jednostkowe</w:t>
      </w:r>
    </w:p>
    <w:p>
      <w:pPr>
        <w:pStyle w:val="BodyText"/>
        <w:bidi w:val="0"/>
        <w:spacing w:before="180" w:after="180"/>
        <w:ind w:hanging="0" w:start="180" w:end="180"/>
        <w:jc w:val="center"/>
        <w:rPr>
          <w:i/>
          <w:color w:val="555555"/>
          <w:bdr w:val="dashed" w:sz="12" w:space="18" w:color="888888"/>
          <w:shd w:fill="F9F9F9" w:val="clear"/>
        </w:rPr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51575" cy="451802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575" cy="451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283"/>
        <w:jc w:val="start"/>
        <w:rPr/>
      </w:pPr>
      <w:r>
        <w:rPr/>
        <w:t>Testy obejmują m.in. normalizację merchantów i logikę auto-kategoryzacji (</w:t>
      </w:r>
      <w:r>
        <w:rPr>
          <w:rStyle w:val="SourceText"/>
        </w:rPr>
        <w:t>card-merchant-auto-categorize.spec.ts</w:t>
      </w:r>
      <w:r>
        <w:rPr/>
        <w:t>).</w:t>
      </w:r>
    </w:p>
    <w:p>
      <w:pPr>
        <w:pStyle w:val="Heading1"/>
        <w:bidi w:val="0"/>
        <w:jc w:val="center"/>
        <w:rPr/>
      </w:pPr>
      <w:r>
        <w:rPr/>
        <w:t>21. Podręcznik użytkownika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Spis treści:</w:t>
      </w:r>
      <w:r>
        <w:rPr/>
        <w:t xml:space="preserve"> 1. Rejestracja. 2. Logowanie. 3. Parowanie rozszerzenia. 4. Synchronizacja. 5. Transakcje. 6. Kategorie. 7. Kategoryzacja AI. 8. Analityka. 9. Ustawienia.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21.1. Rejestracja i logowanie</w:t>
      </w:r>
    </w:p>
    <w:p>
      <w:pPr>
        <w:pStyle w:val="BodyText"/>
        <w:bidi w:val="0"/>
        <w:spacing w:before="180" w:after="180"/>
        <w:ind w:hanging="0" w:start="180" w:end="180"/>
        <w:jc w:val="center"/>
        <w:rPr>
          <w:i/>
          <w:color w:val="555555"/>
          <w:bdr w:val="dashed" w:sz="12" w:space="18" w:color="888888"/>
          <w:shd w:fill="F9F9F9" w:val="clear"/>
        </w:rPr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51575" cy="508635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575" cy="508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21.2. Dashboard</w:t>
      </w:r>
    </w:p>
    <w:p>
      <w:pPr>
        <w:pStyle w:val="BodyText"/>
        <w:bidi w:val="0"/>
        <w:spacing w:before="180" w:after="180"/>
        <w:ind w:hanging="0" w:start="180" w:end="180"/>
        <w:jc w:val="center"/>
        <w:rPr>
          <w:i/>
          <w:color w:val="555555"/>
          <w:bdr w:val="dashed" w:sz="12" w:space="18" w:color="888888"/>
          <w:shd w:fill="F9F9F9" w:val="clear"/>
        </w:rPr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51575" cy="351599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575" cy="3515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21.3. Parowanie rozszerzenia</w:t>
      </w:r>
    </w:p>
    <w:p>
      <w:pPr>
        <w:pStyle w:val="BodyText"/>
        <w:bidi w:val="0"/>
        <w:spacing w:before="180" w:after="180"/>
        <w:ind w:hanging="0" w:start="180" w:end="180"/>
        <w:jc w:val="center"/>
        <w:rPr>
          <w:i/>
          <w:color w:val="555555"/>
          <w:bdr w:val="dashed" w:sz="12" w:space="18" w:color="888888"/>
          <w:shd w:fill="F9F9F9" w:val="clear"/>
        </w:rPr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51575" cy="351599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575" cy="3515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180" w:after="180"/>
        <w:ind w:hanging="0" w:start="180" w:end="180"/>
        <w:jc w:val="center"/>
        <w:rPr>
          <w:i/>
          <w:color w:val="555555"/>
          <w:bdr w:val="dashed" w:sz="12" w:space="18" w:color="888888"/>
          <w:shd w:fill="F9F9F9" w:val="clear"/>
        </w:rPr>
      </w:pPr>
      <w:r>
        <w:rPr/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95650" cy="257175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21.4. Synchronizacja transakcji</w:t>
      </w:r>
    </w:p>
    <w:p>
      <w:pPr>
        <w:pStyle w:val="BodyText"/>
        <w:bidi w:val="0"/>
        <w:spacing w:before="180" w:after="180"/>
        <w:ind w:hanging="0" w:start="180" w:end="180"/>
        <w:jc w:val="center"/>
        <w:rPr>
          <w:i/>
          <w:color w:val="555555"/>
          <w:bdr w:val="dashed" w:sz="12" w:space="18" w:color="888888"/>
          <w:shd w:fill="F9F9F9" w:val="clear"/>
        </w:rPr>
      </w:pPr>
      <w:r>
        <w:rPr/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51575" cy="3515995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575" cy="3515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180" w:after="180"/>
        <w:ind w:hanging="0" w:start="180" w:end="180"/>
        <w:jc w:val="center"/>
        <w:rPr>
          <w:i/>
          <w:color w:val="555555"/>
          <w:bdr w:val="dashed" w:sz="12" w:space="18" w:color="888888"/>
          <w:shd w:fill="F9F9F9" w:val="clear"/>
        </w:rPr>
      </w:pPr>
      <w:r>
        <w:rPr>
          <w:i/>
          <w:color w:val="555555"/>
          <w:bdr w:val="dashed" w:sz="12" w:space="18" w:color="888888"/>
          <w:shd w:fill="F9F9F9" w:val="clear"/>
        </w:rPr>
        <w:t>[WSTAW SCREENSHOT 2]</w:t>
        <w:br/>
        <w:t>Popup rozszerzenia — przycisk „Sync now”, komunikat sukcesu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21.5. Lista transakcji</w:t>
      </w:r>
    </w:p>
    <w:p>
      <w:pPr>
        <w:pStyle w:val="BodyText"/>
        <w:bidi w:val="0"/>
        <w:spacing w:before="180" w:after="180"/>
        <w:ind w:hanging="0" w:start="180" w:end="180"/>
        <w:jc w:val="center"/>
        <w:rPr>
          <w:i/>
          <w:color w:val="555555"/>
          <w:bdr w:val="dashed" w:sz="12" w:space="18" w:color="888888"/>
          <w:shd w:fill="F9F9F9" w:val="clear"/>
        </w:rPr>
      </w:pPr>
      <w:r>
        <w:rPr/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51575" cy="3515995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575" cy="3515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21.6. Zarządzanie kategoriami</w:t>
      </w:r>
    </w:p>
    <w:p>
      <w:pPr>
        <w:pStyle w:val="BodyText"/>
        <w:bidi w:val="0"/>
        <w:spacing w:before="180" w:after="180"/>
        <w:ind w:hanging="0" w:start="180" w:end="180"/>
        <w:jc w:val="center"/>
        <w:rPr>
          <w:i/>
          <w:color w:val="555555"/>
          <w:bdr w:val="dashed" w:sz="12" w:space="18" w:color="888888"/>
          <w:shd w:fill="F9F9F9" w:val="clear"/>
        </w:rPr>
      </w:pPr>
      <w:r>
        <w:rPr/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51575" cy="3515995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575" cy="3515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21.7. Masowa kategoryzacja</w:t>
      </w:r>
    </w:p>
    <w:p>
      <w:pPr>
        <w:pStyle w:val="BodyText"/>
        <w:bidi w:val="0"/>
        <w:spacing w:before="180" w:after="180"/>
        <w:ind w:hanging="0" w:start="180" w:end="180"/>
        <w:jc w:val="center"/>
        <w:rPr/>
      </w:pPr>
      <w:r>
        <w:rPr>
          <w:i/>
          <w:color w:val="555555"/>
          <w:bdr w:val="dashed" w:sz="12" w:space="18" w:color="888888"/>
          <w:shd w:fill="F9F9F9" w:val="clear"/>
        </w:rPr>
        <w:t>[WSTAW SCREENSHOT]</w:t>
        <w:br/>
        <w:t xml:space="preserve">Strona: </w:t>
      </w:r>
      <w:r>
        <w:rPr>
          <w:rStyle w:val="SourceText"/>
          <w:i/>
          <w:color w:val="555555"/>
          <w:bdr w:val="dashed" w:sz="12" w:space="18" w:color="888888"/>
          <w:shd w:fill="F9F9F9" w:val="clear"/>
        </w:rPr>
        <w:t>/categories/categorize</w:t>
      </w:r>
      <w:r>
        <w:rPr>
          <w:i/>
          <w:color w:val="555555"/>
          <w:bdr w:val="dashed" w:sz="12" w:space="18" w:color="888888"/>
          <w:shd w:fill="F9F9F9" w:val="clear"/>
        </w:rPr>
        <w:t xml:space="preserve"> — lista merchantów, przycisk auto-categorize, postęp</w:t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21.8. Analityka</w:t>
      </w:r>
    </w:p>
    <w:p>
      <w:pPr>
        <w:pStyle w:val="BodyText"/>
        <w:bidi w:val="0"/>
        <w:spacing w:before="180" w:after="180"/>
        <w:ind w:hanging="0" w:start="180" w:end="180"/>
        <w:jc w:val="center"/>
        <w:rPr>
          <w:i/>
          <w:color w:val="555555"/>
          <w:bdr w:val="dashed" w:sz="12" w:space="18" w:color="888888"/>
          <w:shd w:fill="F9F9F9" w:val="clear"/>
        </w:rPr>
      </w:pPr>
      <w:r>
        <w:rPr/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51575" cy="3515995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575" cy="3515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pageBreakBefore w:val="false"/>
        <w:numPr>
          <w:ilvl w:val="0"/>
          <w:numId w:val="0"/>
        </w:numPr>
        <w:bidi w:val="0"/>
        <w:spacing w:before="200" w:after="120"/>
        <w:ind w:hanging="0" w:start="1134" w:end="1134"/>
        <w:jc w:val="start"/>
        <w:rPr/>
      </w:pPr>
      <w:r>
        <w:rPr/>
        <w:t>21.9. Edycja transakcji (kategoria)</w:t>
      </w:r>
    </w:p>
    <w:p>
      <w:pPr>
        <w:pStyle w:val="BodyText"/>
        <w:bidi w:val="0"/>
        <w:spacing w:before="180" w:after="180"/>
        <w:ind w:hanging="0" w:start="180" w:end="180"/>
        <w:jc w:val="center"/>
        <w:rPr/>
      </w:pPr>
      <w:r>
        <w:rPr>
          <w:i/>
          <w:color w:val="555555"/>
          <w:bdr w:val="dashed" w:sz="12" w:space="18" w:color="888888"/>
          <w:shd w:fill="F9F9F9" w:val="clear"/>
        </w:rPr>
        <w:t>[WSTAW SCREENSHOT]</w:t>
        <w:br/>
        <w:t xml:space="preserve">Strona: </w:t>
      </w:r>
      <w:r>
        <w:rPr>
          <w:rStyle w:val="SourceText"/>
          <w:i/>
          <w:color w:val="555555"/>
          <w:bdr w:val="dashed" w:sz="12" w:space="18" w:color="888888"/>
          <w:shd w:fill="F9F9F9" w:val="clear"/>
        </w:rPr>
        <w:t>/transactions</w:t>
      </w:r>
      <w:r>
        <w:rPr>
          <w:i/>
          <w:color w:val="555555"/>
          <w:bdr w:val="dashed" w:sz="12" w:space="18" w:color="888888"/>
          <w:shd w:fill="F9F9F9" w:val="clear"/>
        </w:rPr>
        <w:t xml:space="preserve"> — otwarty dialog/sheet edycji pojedynczej transakcji z wyborem kategorii</w:t>
      </w:r>
    </w:p>
    <w:p>
      <w:pPr>
        <w:pStyle w:val="Heading1"/>
        <w:bidi w:val="0"/>
        <w:jc w:val="center"/>
        <w:rPr/>
      </w:pPr>
      <w:r>
        <w:rPr/>
        <w:t>Stos technologiczny (podsumowanie)</w:t>
      </w:r>
    </w:p>
    <w:p>
      <w:pPr>
        <w:pStyle w:val="BodyText"/>
        <w:bidi w:val="0"/>
        <w:spacing w:before="0" w:after="283"/>
        <w:jc w:val="start"/>
        <w:rPr/>
      </w:pPr>
      <w:r>
        <w:rPr/>
        <w:t>TypeScript, React 19, Next.js 15, Tailwind CSS, NestJS, Fastify, PostgreSQL, Prisma, JWT, SIWE, REST API, rozszerzenie Chrome (Plasmo), OpenAI API, Docker, pnpm, Turbo.</w:t>
      </w:r>
    </w:p>
    <w:p>
      <w:pPr>
        <w:pStyle w:val="Heading1"/>
        <w:bidi w:val="0"/>
        <w:jc w:val="center"/>
        <w:rPr/>
      </w:pPr>
      <w:r>
        <w:rPr/>
        <w:t>Repozytorium</w:t>
      </w:r>
    </w:p>
    <w:p>
      <w:pPr>
        <w:pStyle w:val="BodyText"/>
        <w:bidi w:val="0"/>
        <w:spacing w:before="0" w:after="283"/>
        <w:jc w:val="start"/>
        <w:rPr/>
      </w:pPr>
      <w:r>
        <w:rPr/>
        <w:t>GitHub: https://github.com/ZAKHAROV-Artem/meta-spend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lowerLetter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lowerLetter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lowerLetter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lowerLetter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lowerLetter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lowerLetter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lowerLetter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lowerLetter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lowerLetter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95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lineRule="auto" w:line="324" w:before="1134" w:after="1134"/>
      <w:ind w:start="1134" w:end="1134"/>
      <w:jc w:val="start"/>
    </w:pPr>
    <w:rPr>
      <w:rFonts w:ascii="Liberation Serif;Times New Roman;serif" w:hAnsi="Liberation Serif;Times New Roman;serif" w:eastAsia="Liberation Serif;Times New Roman;serif" w:cs="Liberation Serif;Times New Roman;serif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jc w:val="center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pageBreakBefore w:val="false"/>
      <w:numPr>
        <w:ilvl w:val="0"/>
        <w:numId w:val="0"/>
      </w:numPr>
      <w:spacing w:before="200" w:after="120"/>
      <w:ind w:start="1134"/>
      <w:outlineLvl w:val="1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ind w:start="1134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user">
    <w:name w:val="Endnote Characters (user)"/>
    <w:qFormat/>
    <w:rPr/>
  </w:style>
  <w:style w:type="character" w:styleId="FootnoteCharactersuser">
    <w:name w:val="Footnote Characters (user)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z w:val="18"/>
      <w:szCs w:val="18"/>
      <w:shd w:fill="F4F4F4" w:val="clear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PreformattedText">
    <w:name w:val="Preformatted Text"/>
    <w:basedOn w:val="Normal"/>
    <w:qFormat/>
    <w:pPr>
      <w:spacing w:before="1134" w:after="0"/>
    </w:pPr>
    <w:rPr>
      <w:rFonts w:ascii="Liberation Mono;monospace" w:hAnsi="Liberation Mono;monospace" w:eastAsia="Liberation Mono;monospace" w:cs="Liberation Mono;monospace"/>
      <w:sz w:val="18"/>
      <w:szCs w:val="1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LibreOffice/25.8.7.2$Linux_X86_64 LibreOffice_project/580$Build-2</Application>
  <AppVersion>15.0000</AppVersion>
  <Pages>26</Pages>
  <Words>1698</Words>
  <Characters>12144</Characters>
  <CharactersWithSpaces>13669</CharactersWithSpaces>
  <Paragraphs>292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2026-05-27T13:28:38Z</dcterms:modified>
  <cp:revision>2</cp:revision>
  <dc:subject/>
  <dc:title>CryptoTrack — dokumentacja projektu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