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68FB3" w14:textId="77777777" w:rsidR="004F634E" w:rsidRPr="004F634E" w:rsidRDefault="004F634E" w:rsidP="004F63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F634E">
        <w:rPr>
          <w:rFonts w:ascii="Times New Roman" w:eastAsia="Times New Roman" w:hAnsi="Times New Roman" w:cs="Times New Roman"/>
          <w:b/>
          <w:bCs/>
          <w:kern w:val="0"/>
          <w:sz w:val="36"/>
          <w:szCs w:val="36"/>
          <w14:ligatures w14:val="none"/>
        </w:rPr>
        <w:t>Appendix A – Supporting Documents &amp; References</w:t>
      </w:r>
    </w:p>
    <w:p w14:paraId="7DD3AE8D" w14:textId="77777777" w:rsidR="004F634E" w:rsidRPr="004F634E" w:rsidRDefault="004F634E" w:rsidP="004F634E">
      <w:pPr>
        <w:spacing w:before="100" w:beforeAutospacing="1" w:after="100" w:afterAutospacing="1" w:line="240" w:lineRule="auto"/>
        <w:rPr>
          <w:rFonts w:ascii="Times New Roman" w:eastAsia="Times New Roman" w:hAnsi="Times New Roman" w:cs="Times New Roman"/>
          <w:kern w:val="0"/>
          <w14:ligatures w14:val="none"/>
        </w:rPr>
      </w:pPr>
      <w:r w:rsidRPr="004F634E">
        <w:rPr>
          <w:rFonts w:ascii="Times New Roman" w:eastAsia="Times New Roman" w:hAnsi="Times New Roman" w:cs="Times New Roman"/>
          <w:b/>
          <w:bCs/>
          <w:kern w:val="0"/>
          <w14:ligatures w14:val="none"/>
        </w:rPr>
        <w:t>Green Hill Canarias – Strategic Plan 2025</w:t>
      </w:r>
      <w:r w:rsidRPr="004F634E">
        <w:rPr>
          <w:rFonts w:ascii="Times New Roman" w:eastAsia="Times New Roman" w:hAnsi="Times New Roman" w:cs="Times New Roman"/>
          <w:kern w:val="0"/>
          <w14:ligatures w14:val="none"/>
        </w:rPr>
        <w:br/>
      </w:r>
      <w:r w:rsidRPr="004F634E">
        <w:rPr>
          <w:rFonts w:ascii="Times New Roman" w:eastAsia="Times New Roman" w:hAnsi="Times New Roman" w:cs="Times New Roman"/>
          <w:i/>
          <w:iCs/>
          <w:kern w:val="0"/>
          <w14:ligatures w14:val="none"/>
        </w:rPr>
        <w:t>Confidential Investor Reference Material</w:t>
      </w:r>
    </w:p>
    <w:p w14:paraId="3CDC400C" w14:textId="77777777" w:rsidR="004F634E" w:rsidRPr="004F634E" w:rsidRDefault="004F634E" w:rsidP="004F634E">
      <w:pPr>
        <w:spacing w:after="0" w:line="240" w:lineRule="auto"/>
        <w:rPr>
          <w:rFonts w:ascii="Times New Roman" w:eastAsia="Times New Roman" w:hAnsi="Times New Roman" w:cs="Times New Roman"/>
          <w:kern w:val="0"/>
          <w14:ligatures w14:val="none"/>
        </w:rPr>
      </w:pPr>
      <w:r w:rsidRPr="004F634E">
        <w:rPr>
          <w:rFonts w:ascii="Times New Roman" w:eastAsia="Times New Roman" w:hAnsi="Times New Roman" w:cs="Times New Roman"/>
          <w:kern w:val="0"/>
          <w14:ligatures w14:val="none"/>
        </w:rPr>
        <w:pict w14:anchorId="71298DD9">
          <v:rect id="_x0000_i1031" style="width:0;height:1.5pt" o:hralign="center" o:hrstd="t" o:hr="t" fillcolor="#a0a0a0" stroked="f"/>
        </w:pict>
      </w:r>
    </w:p>
    <w:p w14:paraId="6891EAB1" w14:textId="77777777" w:rsidR="004F634E" w:rsidRPr="004F634E" w:rsidRDefault="004F634E" w:rsidP="004F634E">
      <w:pPr>
        <w:spacing w:before="100" w:beforeAutospacing="1" w:after="100" w:afterAutospacing="1" w:line="240" w:lineRule="auto"/>
        <w:rPr>
          <w:rFonts w:ascii="Times New Roman" w:eastAsia="Times New Roman" w:hAnsi="Times New Roman" w:cs="Times New Roman"/>
          <w:kern w:val="0"/>
          <w14:ligatures w14:val="none"/>
        </w:rPr>
      </w:pPr>
      <w:r w:rsidRPr="004F634E">
        <w:rPr>
          <w:rFonts w:ascii="Times New Roman" w:eastAsia="Times New Roman" w:hAnsi="Times New Roman" w:cs="Times New Roman"/>
          <w:kern w:val="0"/>
          <w14:ligatures w14:val="none"/>
        </w:rPr>
        <w:t xml:space="preserve">This appendix serves as a consolidated directory of key documents, annexes, and source references that support the strategic, operational, and financial framework of the Green Hill Canarias project. It is intended to assist investors, partners, and regulators in due diligence, decision-making, and </w:t>
      </w:r>
      <w:proofErr w:type="gramStart"/>
      <w:r w:rsidRPr="004F634E">
        <w:rPr>
          <w:rFonts w:ascii="Times New Roman" w:eastAsia="Times New Roman" w:hAnsi="Times New Roman" w:cs="Times New Roman"/>
          <w:kern w:val="0"/>
          <w14:ligatures w14:val="none"/>
        </w:rPr>
        <w:t>governance oversight</w:t>
      </w:r>
      <w:proofErr w:type="gramEnd"/>
      <w:r w:rsidRPr="004F634E">
        <w:rPr>
          <w:rFonts w:ascii="Times New Roman" w:eastAsia="Times New Roman" w:hAnsi="Times New Roman" w:cs="Times New Roman"/>
          <w:kern w:val="0"/>
          <w14:ligatures w14:val="none"/>
        </w:rPr>
        <w:t>.</w:t>
      </w:r>
    </w:p>
    <w:p w14:paraId="40E57C71" w14:textId="77777777" w:rsidR="004F634E" w:rsidRPr="004F634E" w:rsidRDefault="004F634E" w:rsidP="004F63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634E">
        <w:rPr>
          <w:rFonts w:ascii="Segoe UI Emoji" w:eastAsia="Times New Roman" w:hAnsi="Segoe UI Emoji" w:cs="Segoe UI Emoji"/>
          <w:b/>
          <w:bCs/>
          <w:kern w:val="0"/>
          <w:sz w:val="27"/>
          <w:szCs w:val="27"/>
          <w14:ligatures w14:val="none"/>
        </w:rPr>
        <w:t>📁</w:t>
      </w:r>
      <w:r w:rsidRPr="004F634E">
        <w:rPr>
          <w:rFonts w:ascii="Times New Roman" w:eastAsia="Times New Roman" w:hAnsi="Times New Roman" w:cs="Times New Roman"/>
          <w:b/>
          <w:bCs/>
          <w:kern w:val="0"/>
          <w:sz w:val="27"/>
          <w:szCs w:val="27"/>
          <w14:ligatures w14:val="none"/>
        </w:rPr>
        <w:t xml:space="preserve"> Document Index</w:t>
      </w:r>
    </w:p>
    <w:p w14:paraId="3EE3C35B" w14:textId="77777777" w:rsidR="004F634E" w:rsidRPr="004F634E" w:rsidRDefault="004F634E" w:rsidP="004F634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634E">
        <w:rPr>
          <w:rFonts w:ascii="Times New Roman" w:eastAsia="Times New Roman" w:hAnsi="Times New Roman" w:cs="Times New Roman"/>
          <w:b/>
          <w:bCs/>
          <w:kern w:val="0"/>
          <w14:ligatures w14:val="none"/>
        </w:rPr>
        <w:t>A1. Legal &amp; Tax Framework</w:t>
      </w:r>
    </w:p>
    <w:p w14:paraId="42CA5EC3" w14:textId="77777777" w:rsidR="004F634E" w:rsidRPr="004F634E" w:rsidRDefault="004F634E" w:rsidP="004F634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F634E">
        <w:rPr>
          <w:rFonts w:ascii="Times New Roman" w:eastAsia="Times New Roman" w:hAnsi="Times New Roman" w:cs="Times New Roman"/>
          <w:kern w:val="0"/>
          <w14:ligatures w14:val="none"/>
        </w:rPr>
        <w:t>[1] Canary Islands ZEC Program – 4% corporate tax regime (EU-approved)</w:t>
      </w:r>
    </w:p>
    <w:p w14:paraId="68A23D79" w14:textId="77777777" w:rsidR="004F634E" w:rsidRPr="004F634E" w:rsidRDefault="004F634E" w:rsidP="004F634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F634E">
        <w:rPr>
          <w:rFonts w:ascii="Times New Roman" w:eastAsia="Times New Roman" w:hAnsi="Times New Roman" w:cs="Times New Roman"/>
          <w:kern w:val="0"/>
          <w14:ligatures w14:val="none"/>
        </w:rPr>
        <w:t>[4] Official ROEZEC Registration – Resolution 10 Oct 2024 (Exp. 38/23/0068)</w:t>
      </w:r>
    </w:p>
    <w:p w14:paraId="331D349B" w14:textId="77777777" w:rsidR="004F634E" w:rsidRPr="004F634E" w:rsidRDefault="004F634E" w:rsidP="004F634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F634E">
        <w:rPr>
          <w:rFonts w:ascii="Times New Roman" w:eastAsia="Times New Roman" w:hAnsi="Times New Roman" w:cs="Times New Roman"/>
          <w:kern w:val="0"/>
          <w14:ligatures w14:val="none"/>
        </w:rPr>
        <w:t>[45] Spanish Corporate Law (LSC), Art. 199 – Voting requirements for major decisions</w:t>
      </w:r>
    </w:p>
    <w:p w14:paraId="0277FC7F" w14:textId="77777777" w:rsidR="004F634E" w:rsidRPr="004F634E" w:rsidRDefault="004F634E" w:rsidP="004F634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634E">
        <w:rPr>
          <w:rFonts w:ascii="Times New Roman" w:eastAsia="Times New Roman" w:hAnsi="Times New Roman" w:cs="Times New Roman"/>
          <w:b/>
          <w:bCs/>
          <w:kern w:val="0"/>
          <w14:ligatures w14:val="none"/>
        </w:rPr>
        <w:t>A2. Shareholder Agreements &amp; Governance</w:t>
      </w:r>
    </w:p>
    <w:p w14:paraId="501E53FA" w14:textId="77777777" w:rsidR="004F634E" w:rsidRPr="004F634E" w:rsidRDefault="004F634E" w:rsidP="004F634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F634E">
        <w:rPr>
          <w:rFonts w:ascii="Times New Roman" w:eastAsia="Times New Roman" w:hAnsi="Times New Roman" w:cs="Times New Roman"/>
          <w:kern w:val="0"/>
          <w14:ligatures w14:val="none"/>
        </w:rPr>
        <w:t>[5–10], [43–49] Green Hill SHA 2024 – Shareholder protections, board composition, veto rights, exit waterfall</w:t>
      </w:r>
    </w:p>
    <w:p w14:paraId="36886E5F" w14:textId="77777777" w:rsidR="004F634E" w:rsidRPr="004F634E" w:rsidRDefault="004F634E" w:rsidP="004F634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634E">
        <w:rPr>
          <w:rFonts w:ascii="Times New Roman" w:eastAsia="Times New Roman" w:hAnsi="Times New Roman" w:cs="Times New Roman"/>
          <w:b/>
          <w:bCs/>
          <w:kern w:val="0"/>
          <w14:ligatures w14:val="none"/>
        </w:rPr>
        <w:t>A3. Financial Model &amp; Capital Structure</w:t>
      </w:r>
    </w:p>
    <w:p w14:paraId="2AFF071B" w14:textId="77777777" w:rsidR="004F634E" w:rsidRPr="004F634E" w:rsidRDefault="004F634E" w:rsidP="004F634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F634E">
        <w:rPr>
          <w:rFonts w:ascii="Times New Roman" w:eastAsia="Times New Roman" w:hAnsi="Times New Roman" w:cs="Times New Roman"/>
          <w:kern w:val="0"/>
          <w14:ligatures w14:val="none"/>
        </w:rPr>
        <w:t>[50] Financial Model (2025) – Revenue, IRR, P&amp;L, and downside scenarios</w:t>
      </w:r>
    </w:p>
    <w:p w14:paraId="14C0736C" w14:textId="77777777" w:rsidR="004F634E" w:rsidRPr="004F634E" w:rsidRDefault="004F634E" w:rsidP="004F634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F634E">
        <w:rPr>
          <w:rFonts w:ascii="Times New Roman" w:eastAsia="Times New Roman" w:hAnsi="Times New Roman" w:cs="Times New Roman"/>
          <w:kern w:val="0"/>
          <w14:ligatures w14:val="none"/>
        </w:rPr>
        <w:t>[35–42] CAPEX Quotes – Freeze dryers, cleanrooms, QA lab, Qualipharma services</w:t>
      </w:r>
    </w:p>
    <w:p w14:paraId="3618BD31" w14:textId="77777777" w:rsidR="004F634E" w:rsidRPr="004F634E" w:rsidRDefault="004F634E" w:rsidP="004F634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F634E">
        <w:rPr>
          <w:rFonts w:ascii="Times New Roman" w:eastAsia="Times New Roman" w:hAnsi="Times New Roman" w:cs="Times New Roman"/>
          <w:kern w:val="0"/>
          <w14:ligatures w14:val="none"/>
        </w:rPr>
        <w:t>[25] Contingency Planning – Cash runway reserve through Q4 2026</w:t>
      </w:r>
    </w:p>
    <w:p w14:paraId="6E1EDB29" w14:textId="77777777" w:rsidR="004F634E" w:rsidRPr="004F634E" w:rsidRDefault="004F634E" w:rsidP="004F634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634E">
        <w:rPr>
          <w:rFonts w:ascii="Times New Roman" w:eastAsia="Times New Roman" w:hAnsi="Times New Roman" w:cs="Times New Roman"/>
          <w:b/>
          <w:bCs/>
          <w:kern w:val="0"/>
          <w14:ligatures w14:val="none"/>
        </w:rPr>
        <w:t>A4. Market Data &amp; Competitive Benchmarking</w:t>
      </w:r>
    </w:p>
    <w:p w14:paraId="30CAB659" w14:textId="77777777" w:rsidR="004F634E" w:rsidRPr="004F634E" w:rsidRDefault="004F634E" w:rsidP="004F634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F634E">
        <w:rPr>
          <w:rFonts w:ascii="Times New Roman" w:eastAsia="Times New Roman" w:hAnsi="Times New Roman" w:cs="Times New Roman"/>
          <w:kern w:val="0"/>
          <w14:ligatures w14:val="none"/>
        </w:rPr>
        <w:t>[11–21] European Cannabis Market – Market size, growth, pricing pressure (Germany, France, Czech Republic, etc.)</w:t>
      </w:r>
    </w:p>
    <w:p w14:paraId="6BC230F2" w14:textId="77777777" w:rsidR="004F634E" w:rsidRPr="004F634E" w:rsidRDefault="004F634E" w:rsidP="004F634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F634E">
        <w:rPr>
          <w:rFonts w:ascii="Times New Roman" w:eastAsia="Times New Roman" w:hAnsi="Times New Roman" w:cs="Times New Roman"/>
          <w:kern w:val="0"/>
          <w14:ligatures w14:val="none"/>
        </w:rPr>
        <w:t>[2], [22] Freeze-drying vs. traditional curing – Comparative performance and product stability</w:t>
      </w:r>
    </w:p>
    <w:p w14:paraId="13DCB219" w14:textId="77777777" w:rsidR="004F634E" w:rsidRPr="004F634E" w:rsidRDefault="004F634E" w:rsidP="004F634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634E">
        <w:rPr>
          <w:rFonts w:ascii="Times New Roman" w:eastAsia="Times New Roman" w:hAnsi="Times New Roman" w:cs="Times New Roman"/>
          <w:b/>
          <w:bCs/>
          <w:kern w:val="0"/>
          <w14:ligatures w14:val="none"/>
        </w:rPr>
        <w:t>A5. Regulatory Strategy &amp; Validation</w:t>
      </w:r>
    </w:p>
    <w:p w14:paraId="14A91811" w14:textId="77777777" w:rsidR="004F634E" w:rsidRPr="004F634E" w:rsidRDefault="004F634E" w:rsidP="004F634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F634E">
        <w:rPr>
          <w:rFonts w:ascii="Times New Roman" w:eastAsia="Times New Roman" w:hAnsi="Times New Roman" w:cs="Times New Roman"/>
          <w:kern w:val="0"/>
          <w14:ligatures w14:val="none"/>
        </w:rPr>
        <w:t>[3], [23–24], [33–34] EMA/AEMPS GMP requirements, audit inspection focus, regulatory roadmap</w:t>
      </w:r>
    </w:p>
    <w:p w14:paraId="360CF362" w14:textId="77777777" w:rsidR="004F634E" w:rsidRPr="004F634E" w:rsidRDefault="004F634E" w:rsidP="004F634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F634E">
        <w:rPr>
          <w:rFonts w:ascii="Times New Roman" w:eastAsia="Times New Roman" w:hAnsi="Times New Roman" w:cs="Times New Roman"/>
          <w:kern w:val="0"/>
          <w14:ligatures w14:val="none"/>
        </w:rPr>
        <w:t>[26–27] EU Directives – Packaging compliance (Braille, multilingual labeling)</w:t>
      </w:r>
    </w:p>
    <w:p w14:paraId="29E1BAB7" w14:textId="77777777" w:rsidR="004F634E" w:rsidRPr="004F634E" w:rsidRDefault="004F634E" w:rsidP="004F634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634E">
        <w:rPr>
          <w:rFonts w:ascii="Times New Roman" w:eastAsia="Times New Roman" w:hAnsi="Times New Roman" w:cs="Times New Roman"/>
          <w:b/>
          <w:bCs/>
          <w:kern w:val="0"/>
          <w14:ligatures w14:val="none"/>
        </w:rPr>
        <w:lastRenderedPageBreak/>
        <w:t>A6. Technical Design &amp; Facility Engineering</w:t>
      </w:r>
    </w:p>
    <w:p w14:paraId="53C4B63A" w14:textId="77777777" w:rsidR="004F634E" w:rsidRPr="004F634E" w:rsidRDefault="004F634E" w:rsidP="004F634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F634E">
        <w:rPr>
          <w:rFonts w:ascii="Times New Roman" w:eastAsia="Times New Roman" w:hAnsi="Times New Roman" w:cs="Times New Roman"/>
          <w:kern w:val="0"/>
          <w14:ligatures w14:val="none"/>
        </w:rPr>
        <w:t>[28–31] HVAC systems, pressure cascade, ISO-8 cleanroom compliance</w:t>
      </w:r>
    </w:p>
    <w:p w14:paraId="3C8FAE4E" w14:textId="77777777" w:rsidR="004F634E" w:rsidRPr="004F634E" w:rsidRDefault="004F634E" w:rsidP="004F634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F634E">
        <w:rPr>
          <w:rFonts w:ascii="Times New Roman" w:eastAsia="Times New Roman" w:hAnsi="Times New Roman" w:cs="Times New Roman"/>
          <w:kern w:val="0"/>
          <w14:ligatures w14:val="none"/>
        </w:rPr>
        <w:t>[7], [32] QA/QC validation protocols – IQ/OQ/PQ</w:t>
      </w:r>
    </w:p>
    <w:p w14:paraId="6F1EBB01" w14:textId="77777777" w:rsidR="004F634E" w:rsidRPr="004F634E" w:rsidRDefault="004F634E" w:rsidP="004F634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634E">
        <w:rPr>
          <w:rFonts w:ascii="Times New Roman" w:eastAsia="Times New Roman" w:hAnsi="Times New Roman" w:cs="Times New Roman"/>
          <w:b/>
          <w:bCs/>
          <w:kern w:val="0"/>
          <w14:ligatures w14:val="none"/>
        </w:rPr>
        <w:t>A7. Risk Management &amp; GMP Standards</w:t>
      </w:r>
    </w:p>
    <w:p w14:paraId="08F8F8F2" w14:textId="77777777" w:rsidR="004F634E" w:rsidRPr="004F634E" w:rsidRDefault="004F634E" w:rsidP="004F634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F634E">
        <w:rPr>
          <w:rFonts w:ascii="Times New Roman" w:eastAsia="Times New Roman" w:hAnsi="Times New Roman" w:cs="Times New Roman"/>
          <w:kern w:val="0"/>
          <w14:ligatures w14:val="none"/>
        </w:rPr>
        <w:t>[29–30] WHO Annex 7 and EU GMP Annex 1</w:t>
      </w:r>
    </w:p>
    <w:p w14:paraId="52731ED3" w14:textId="77777777" w:rsidR="004F634E" w:rsidRPr="004F634E" w:rsidRDefault="004F634E" w:rsidP="004F634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F634E">
        <w:rPr>
          <w:rFonts w:ascii="Times New Roman" w:eastAsia="Times New Roman" w:hAnsi="Times New Roman" w:cs="Times New Roman"/>
          <w:kern w:val="0"/>
          <w14:ligatures w14:val="none"/>
        </w:rPr>
        <w:t>[6], [8] Strategic declarations, governance alignment</w:t>
      </w:r>
    </w:p>
    <w:p w14:paraId="2572665C" w14:textId="77777777" w:rsidR="004F634E" w:rsidRPr="004F634E" w:rsidRDefault="004F634E" w:rsidP="004F634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F634E">
        <w:rPr>
          <w:rFonts w:ascii="Times New Roman" w:eastAsia="Times New Roman" w:hAnsi="Times New Roman" w:cs="Times New Roman"/>
          <w:kern w:val="0"/>
          <w14:ligatures w14:val="none"/>
        </w:rPr>
        <w:t>[44] Liquidation preferences and payout structure per SHA</w:t>
      </w:r>
    </w:p>
    <w:p w14:paraId="30CDABDE" w14:textId="77777777" w:rsidR="004F634E" w:rsidRPr="004F634E" w:rsidRDefault="004F634E" w:rsidP="004F634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634E">
        <w:rPr>
          <w:rFonts w:ascii="Times New Roman" w:eastAsia="Times New Roman" w:hAnsi="Times New Roman" w:cs="Times New Roman"/>
          <w:b/>
          <w:bCs/>
          <w:kern w:val="0"/>
          <w14:ligatures w14:val="none"/>
        </w:rPr>
        <w:t>A8. Supporting Downloads (Available via Data Room)</w:t>
      </w:r>
    </w:p>
    <w:p w14:paraId="5D473252" w14:textId="77777777" w:rsidR="004F634E" w:rsidRPr="004F634E" w:rsidRDefault="004F634E" w:rsidP="004F634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F634E">
        <w:rPr>
          <w:rFonts w:ascii="Times New Roman" w:eastAsia="Times New Roman" w:hAnsi="Times New Roman" w:cs="Times New Roman"/>
          <w:kern w:val="0"/>
          <w14:ligatures w14:val="none"/>
        </w:rPr>
        <w:t>Strategic Plan – Word &amp; PDF versions</w:t>
      </w:r>
    </w:p>
    <w:p w14:paraId="0F62695B" w14:textId="77777777" w:rsidR="004F634E" w:rsidRPr="004F634E" w:rsidRDefault="004F634E" w:rsidP="004F634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F634E">
        <w:rPr>
          <w:rFonts w:ascii="Times New Roman" w:eastAsia="Times New Roman" w:hAnsi="Times New Roman" w:cs="Times New Roman"/>
          <w:kern w:val="0"/>
          <w14:ligatures w14:val="none"/>
        </w:rPr>
        <w:t>Cannafloss</w:t>
      </w:r>
      <w:proofErr w:type="spellEnd"/>
      <w:r w:rsidRPr="004F634E">
        <w:rPr>
          <w:rFonts w:ascii="Times New Roman" w:eastAsia="Times New Roman" w:hAnsi="Times New Roman" w:cs="Times New Roman"/>
          <w:kern w:val="0"/>
          <w14:ligatures w14:val="none"/>
        </w:rPr>
        <w:t xml:space="preserve"> LOI – Germany market entry</w:t>
      </w:r>
    </w:p>
    <w:p w14:paraId="4D707B4F" w14:textId="77777777" w:rsidR="004F634E" w:rsidRPr="004F634E" w:rsidRDefault="004F634E" w:rsidP="004F634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F634E">
        <w:rPr>
          <w:rFonts w:ascii="Times New Roman" w:eastAsia="Times New Roman" w:hAnsi="Times New Roman" w:cs="Times New Roman"/>
          <w:kern w:val="0"/>
          <w14:ligatures w14:val="none"/>
        </w:rPr>
        <w:t>Licensing Schedule &amp; Gantt Chart – Rev. Jan 2025</w:t>
      </w:r>
    </w:p>
    <w:p w14:paraId="6F3768D4" w14:textId="77777777" w:rsidR="004F634E" w:rsidRPr="004F634E" w:rsidRDefault="004F634E" w:rsidP="004F634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F634E">
        <w:rPr>
          <w:rFonts w:ascii="Times New Roman" w:eastAsia="Times New Roman" w:hAnsi="Times New Roman" w:cs="Times New Roman"/>
          <w:kern w:val="0"/>
          <w14:ligatures w14:val="none"/>
        </w:rPr>
        <w:t>Validation Batch Plan &amp; Environmental Monitoring Template</w:t>
      </w:r>
    </w:p>
    <w:p w14:paraId="3BBD72C5" w14:textId="77777777" w:rsidR="004F634E" w:rsidRPr="004F634E" w:rsidRDefault="004F634E" w:rsidP="004F634E">
      <w:pPr>
        <w:spacing w:after="0" w:line="240" w:lineRule="auto"/>
        <w:rPr>
          <w:rFonts w:ascii="Times New Roman" w:eastAsia="Times New Roman" w:hAnsi="Times New Roman" w:cs="Times New Roman"/>
          <w:kern w:val="0"/>
          <w14:ligatures w14:val="none"/>
        </w:rPr>
      </w:pPr>
      <w:r w:rsidRPr="004F634E">
        <w:rPr>
          <w:rFonts w:ascii="Times New Roman" w:eastAsia="Times New Roman" w:hAnsi="Times New Roman" w:cs="Times New Roman"/>
          <w:kern w:val="0"/>
          <w14:ligatures w14:val="none"/>
        </w:rPr>
        <w:pict w14:anchorId="6233B3EB">
          <v:rect id="_x0000_i1032" style="width:0;height:1.5pt" o:hralign="center" o:hrstd="t" o:hr="t" fillcolor="#a0a0a0" stroked="f"/>
        </w:pict>
      </w:r>
    </w:p>
    <w:p w14:paraId="6DE8BCD1" w14:textId="77777777" w:rsidR="004F634E" w:rsidRPr="004F634E" w:rsidRDefault="004F634E" w:rsidP="004F63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634E">
        <w:rPr>
          <w:rFonts w:ascii="Segoe UI Emoji" w:eastAsia="Times New Roman" w:hAnsi="Segoe UI Emoji" w:cs="Segoe UI Emoji"/>
          <w:b/>
          <w:bCs/>
          <w:kern w:val="0"/>
          <w:sz w:val="27"/>
          <w:szCs w:val="27"/>
          <w14:ligatures w14:val="none"/>
        </w:rPr>
        <w:t>📚</w:t>
      </w:r>
      <w:r w:rsidRPr="004F634E">
        <w:rPr>
          <w:rFonts w:ascii="Times New Roman" w:eastAsia="Times New Roman" w:hAnsi="Times New Roman" w:cs="Times New Roman"/>
          <w:b/>
          <w:bCs/>
          <w:kern w:val="0"/>
          <w:sz w:val="27"/>
          <w:szCs w:val="27"/>
          <w14:ligatures w14:val="none"/>
        </w:rPr>
        <w:t xml:space="preserve"> References (Endnotes)</w:t>
      </w:r>
    </w:p>
    <w:p w14:paraId="14A0822F" w14:textId="77777777" w:rsidR="004F634E" w:rsidRPr="004F634E" w:rsidRDefault="004F634E" w:rsidP="004F634E">
      <w:pPr>
        <w:spacing w:before="100" w:beforeAutospacing="1" w:after="100" w:afterAutospacing="1" w:line="240" w:lineRule="auto"/>
        <w:rPr>
          <w:rFonts w:ascii="Times New Roman" w:eastAsia="Times New Roman" w:hAnsi="Times New Roman" w:cs="Times New Roman"/>
          <w:kern w:val="0"/>
          <w14:ligatures w14:val="none"/>
        </w:rPr>
      </w:pPr>
      <w:r w:rsidRPr="004F634E">
        <w:rPr>
          <w:rFonts w:ascii="Times New Roman" w:eastAsia="Times New Roman" w:hAnsi="Times New Roman" w:cs="Times New Roman"/>
          <w:kern w:val="0"/>
          <w14:ligatures w14:val="none"/>
        </w:rPr>
        <w:t>[1] Canary Islands Special Zone (ZEC) – EU-approved 4% corporate tax program</w:t>
      </w:r>
      <w:r w:rsidRPr="004F634E">
        <w:rPr>
          <w:rFonts w:ascii="Times New Roman" w:eastAsia="Times New Roman" w:hAnsi="Times New Roman" w:cs="Times New Roman"/>
          <w:kern w:val="0"/>
          <w14:ligatures w14:val="none"/>
        </w:rPr>
        <w:br/>
        <w:t xml:space="preserve">[2] Original </w:t>
      </w:r>
      <w:proofErr w:type="spellStart"/>
      <w:r w:rsidRPr="004F634E">
        <w:rPr>
          <w:rFonts w:ascii="Times New Roman" w:eastAsia="Times New Roman" w:hAnsi="Times New Roman" w:cs="Times New Roman"/>
          <w:kern w:val="0"/>
          <w14:ligatures w14:val="none"/>
        </w:rPr>
        <w:t>Resinator</w:t>
      </w:r>
      <w:proofErr w:type="spellEnd"/>
      <w:r w:rsidRPr="004F634E">
        <w:rPr>
          <w:rFonts w:ascii="Times New Roman" w:eastAsia="Times New Roman" w:hAnsi="Times New Roman" w:cs="Times New Roman"/>
          <w:kern w:val="0"/>
          <w14:ligatures w14:val="none"/>
        </w:rPr>
        <w:t xml:space="preserve"> – Freeze-drying vs. traditional curing methods</w:t>
      </w:r>
      <w:r w:rsidRPr="004F634E">
        <w:rPr>
          <w:rFonts w:ascii="Times New Roman" w:eastAsia="Times New Roman" w:hAnsi="Times New Roman" w:cs="Times New Roman"/>
          <w:kern w:val="0"/>
          <w14:ligatures w14:val="none"/>
        </w:rPr>
        <w:br/>
        <w:t>[3] EMA – EU-GMP requirements for cannabis manufacturers</w:t>
      </w:r>
      <w:r w:rsidRPr="004F634E">
        <w:rPr>
          <w:rFonts w:ascii="Times New Roman" w:eastAsia="Times New Roman" w:hAnsi="Times New Roman" w:cs="Times New Roman"/>
          <w:kern w:val="0"/>
          <w14:ligatures w14:val="none"/>
        </w:rPr>
        <w:br/>
        <w:t>[4] ROEZEC Resolution – Green Hill Canarias S.L. official registration</w:t>
      </w:r>
      <w:r w:rsidRPr="004F634E">
        <w:rPr>
          <w:rFonts w:ascii="Times New Roman" w:eastAsia="Times New Roman" w:hAnsi="Times New Roman" w:cs="Times New Roman"/>
          <w:kern w:val="0"/>
          <w14:ligatures w14:val="none"/>
        </w:rPr>
        <w:br/>
        <w:t>[5–10] SHA Key Terms – PPL interest, board rights, governance, veto clauses</w:t>
      </w:r>
      <w:r w:rsidRPr="004F634E">
        <w:rPr>
          <w:rFonts w:ascii="Times New Roman" w:eastAsia="Times New Roman" w:hAnsi="Times New Roman" w:cs="Times New Roman"/>
          <w:kern w:val="0"/>
          <w14:ligatures w14:val="none"/>
        </w:rPr>
        <w:br/>
        <w:t>[11–21] EU Cannabis Market – Reports from Prohibition Partners, Business of Cannabis, Honeysuckle</w:t>
      </w:r>
      <w:r w:rsidRPr="004F634E">
        <w:rPr>
          <w:rFonts w:ascii="Times New Roman" w:eastAsia="Times New Roman" w:hAnsi="Times New Roman" w:cs="Times New Roman"/>
          <w:kern w:val="0"/>
          <w14:ligatures w14:val="none"/>
        </w:rPr>
        <w:br/>
        <w:t>[22] MDPI Molecules (2022) – Freeze-drying as optimal post-harvest method</w:t>
      </w:r>
      <w:r w:rsidRPr="004F634E">
        <w:rPr>
          <w:rFonts w:ascii="Times New Roman" w:eastAsia="Times New Roman" w:hAnsi="Times New Roman" w:cs="Times New Roman"/>
          <w:kern w:val="0"/>
          <w14:ligatures w14:val="none"/>
        </w:rPr>
        <w:br/>
        <w:t>[23–24] Regulatory Submissions – AEMPS timeline and dossier planning</w:t>
      </w:r>
      <w:r w:rsidRPr="004F634E">
        <w:rPr>
          <w:rFonts w:ascii="Times New Roman" w:eastAsia="Times New Roman" w:hAnsi="Times New Roman" w:cs="Times New Roman"/>
          <w:kern w:val="0"/>
          <w14:ligatures w14:val="none"/>
        </w:rPr>
        <w:br/>
        <w:t>[25] Financial Model – Certification contingency reserve</w:t>
      </w:r>
      <w:r w:rsidRPr="004F634E">
        <w:rPr>
          <w:rFonts w:ascii="Times New Roman" w:eastAsia="Times New Roman" w:hAnsi="Times New Roman" w:cs="Times New Roman"/>
          <w:kern w:val="0"/>
          <w14:ligatures w14:val="none"/>
        </w:rPr>
        <w:br/>
        <w:t>[26–27] EU Directives – Braille &amp; multilingual packaging standards</w:t>
      </w:r>
      <w:r w:rsidRPr="004F634E">
        <w:rPr>
          <w:rFonts w:ascii="Times New Roman" w:eastAsia="Times New Roman" w:hAnsi="Times New Roman" w:cs="Times New Roman"/>
          <w:kern w:val="0"/>
          <w14:ligatures w14:val="none"/>
        </w:rPr>
        <w:br/>
        <w:t>[28–31] Engineering – HVAC, cleanroom, ISO specs (</w:t>
      </w:r>
      <w:proofErr w:type="spellStart"/>
      <w:r w:rsidRPr="004F634E">
        <w:rPr>
          <w:rFonts w:ascii="Times New Roman" w:eastAsia="Times New Roman" w:hAnsi="Times New Roman" w:cs="Times New Roman"/>
          <w:kern w:val="0"/>
          <w14:ligatures w14:val="none"/>
        </w:rPr>
        <w:t>Valtria</w:t>
      </w:r>
      <w:proofErr w:type="spellEnd"/>
      <w:r w:rsidRPr="004F634E">
        <w:rPr>
          <w:rFonts w:ascii="Times New Roman" w:eastAsia="Times New Roman" w:hAnsi="Times New Roman" w:cs="Times New Roman"/>
          <w:kern w:val="0"/>
          <w14:ligatures w14:val="none"/>
        </w:rPr>
        <w:t>)</w:t>
      </w:r>
      <w:r w:rsidRPr="004F634E">
        <w:rPr>
          <w:rFonts w:ascii="Times New Roman" w:eastAsia="Times New Roman" w:hAnsi="Times New Roman" w:cs="Times New Roman"/>
          <w:kern w:val="0"/>
          <w14:ligatures w14:val="none"/>
        </w:rPr>
        <w:br/>
        <w:t>[32] QA Protocols – Equipment qualification and process (Qualipharma)</w:t>
      </w:r>
      <w:r w:rsidRPr="004F634E">
        <w:rPr>
          <w:rFonts w:ascii="Times New Roman" w:eastAsia="Times New Roman" w:hAnsi="Times New Roman" w:cs="Times New Roman"/>
          <w:kern w:val="0"/>
          <w14:ligatures w14:val="none"/>
        </w:rPr>
        <w:br/>
        <w:t>[33–34] EMA &amp; EudraLex – GMP inspection criteria</w:t>
      </w:r>
      <w:r w:rsidRPr="004F634E">
        <w:rPr>
          <w:rFonts w:ascii="Times New Roman" w:eastAsia="Times New Roman" w:hAnsi="Times New Roman" w:cs="Times New Roman"/>
          <w:kern w:val="0"/>
          <w14:ligatures w14:val="none"/>
        </w:rPr>
        <w:br/>
        <w:t>[35–42] CAPEX Breakdown – Verified quotes and supplier documentation</w:t>
      </w:r>
      <w:r w:rsidRPr="004F634E">
        <w:rPr>
          <w:rFonts w:ascii="Times New Roman" w:eastAsia="Times New Roman" w:hAnsi="Times New Roman" w:cs="Times New Roman"/>
          <w:kern w:val="0"/>
          <w14:ligatures w14:val="none"/>
        </w:rPr>
        <w:br/>
        <w:t>[43–49] SHA Provisions – Lock-up terms, pre-emption, anti-dilution, liquidation rights</w:t>
      </w:r>
      <w:r w:rsidRPr="004F634E">
        <w:rPr>
          <w:rFonts w:ascii="Times New Roman" w:eastAsia="Times New Roman" w:hAnsi="Times New Roman" w:cs="Times New Roman"/>
          <w:kern w:val="0"/>
          <w14:ligatures w14:val="none"/>
        </w:rPr>
        <w:br/>
        <w:t>[50] Green Hill Financial Model – Forecasts and risk scenarios</w:t>
      </w:r>
      <w:r w:rsidRPr="004F634E">
        <w:rPr>
          <w:rFonts w:ascii="Times New Roman" w:eastAsia="Times New Roman" w:hAnsi="Times New Roman" w:cs="Times New Roman"/>
          <w:kern w:val="0"/>
          <w14:ligatures w14:val="none"/>
        </w:rPr>
        <w:br/>
        <w:t>[51] Phase II Expansion Plan – Capacity scaling strategy for 2029 and beyond</w:t>
      </w:r>
    </w:p>
    <w:p w14:paraId="6CAEFA0C" w14:textId="77777777" w:rsidR="004F634E" w:rsidRPr="004F634E" w:rsidRDefault="004F634E" w:rsidP="004F634E">
      <w:pPr>
        <w:spacing w:after="0" w:line="240" w:lineRule="auto"/>
        <w:rPr>
          <w:rFonts w:ascii="Times New Roman" w:eastAsia="Times New Roman" w:hAnsi="Times New Roman" w:cs="Times New Roman"/>
          <w:kern w:val="0"/>
          <w14:ligatures w14:val="none"/>
        </w:rPr>
      </w:pPr>
      <w:r w:rsidRPr="004F634E">
        <w:rPr>
          <w:rFonts w:ascii="Times New Roman" w:eastAsia="Times New Roman" w:hAnsi="Times New Roman" w:cs="Times New Roman"/>
          <w:kern w:val="0"/>
          <w14:ligatures w14:val="none"/>
        </w:rPr>
        <w:pict w14:anchorId="748A2266">
          <v:rect id="_x0000_i1033" style="width:0;height:1.5pt" o:hralign="center" o:hrstd="t" o:hr="t" fillcolor="#a0a0a0" stroked="f"/>
        </w:pict>
      </w:r>
    </w:p>
    <w:p w14:paraId="0FBB8850" w14:textId="77777777" w:rsidR="004F634E" w:rsidRPr="004F634E" w:rsidRDefault="004F634E" w:rsidP="004F634E">
      <w:pPr>
        <w:spacing w:before="100" w:beforeAutospacing="1" w:after="100" w:afterAutospacing="1" w:line="240" w:lineRule="auto"/>
        <w:rPr>
          <w:rFonts w:ascii="Times New Roman" w:eastAsia="Times New Roman" w:hAnsi="Times New Roman" w:cs="Times New Roman"/>
          <w:kern w:val="0"/>
          <w14:ligatures w14:val="none"/>
        </w:rPr>
      </w:pPr>
      <w:r w:rsidRPr="004F634E">
        <w:rPr>
          <w:rFonts w:ascii="Times New Roman" w:eastAsia="Times New Roman" w:hAnsi="Times New Roman" w:cs="Times New Roman"/>
          <w:i/>
          <w:iCs/>
          <w:kern w:val="0"/>
          <w14:ligatures w14:val="none"/>
        </w:rPr>
        <w:t>Green Hill Canarias © 2025 • Confidential Investor Document • Appendix A</w:t>
      </w:r>
    </w:p>
    <w:p w14:paraId="617F8EAD"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lastRenderedPageBreak/>
        <w:t xml:space="preserve">[1] Canary Islands Special Zone (ZEC) official overview – </w:t>
      </w:r>
      <w:r w:rsidRPr="003C68BB">
        <w:rPr>
          <w:rFonts w:ascii="Aptos" w:eastAsia="Aptos" w:hAnsi="Aptos" w:cs="Times New Roman"/>
          <w:i/>
          <w:iCs/>
          <w:kern w:val="0"/>
          <w14:ligatures w14:val="none"/>
        </w:rPr>
        <w:t>4% corporate tax regime approved by EU, supporting investment in Canary Islands</w:t>
      </w:r>
      <w:r w:rsidRPr="003C68BB">
        <w:rPr>
          <w:rFonts w:ascii="Aptos" w:eastAsia="Aptos" w:hAnsi="Aptos" w:cs="Times New Roman"/>
          <w:kern w:val="0"/>
          <w14:ligatures w14:val="none"/>
        </w:rPr>
        <w:t>.</w:t>
      </w:r>
    </w:p>
    <w:p w14:paraId="75917110"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[2] Original </w:t>
      </w:r>
      <w:proofErr w:type="spellStart"/>
      <w:r w:rsidRPr="003C68BB">
        <w:rPr>
          <w:rFonts w:ascii="Aptos" w:eastAsia="Aptos" w:hAnsi="Aptos" w:cs="Times New Roman"/>
          <w:kern w:val="0"/>
          <w14:ligatures w14:val="none"/>
        </w:rPr>
        <w:t>Resinator</w:t>
      </w:r>
      <w:proofErr w:type="spellEnd"/>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Freeze-drying vs. traditional curing – dry &amp; cure cannabis in ~48 hours instead of weeks</w:t>
      </w:r>
      <w:hyperlink r:id="rId5" w:anchor=":~:text=The%20drying%20method%20most%20growers,as%20little%20as%2048%20hours">
        <w:r w:rsidRPr="003C68BB">
          <w:rPr>
            <w:rFonts w:ascii="Aptos" w:eastAsia="Aptos" w:hAnsi="Aptos" w:cs="Times New Roman"/>
            <w:color w:val="156082"/>
            <w:kern w:val="0"/>
            <w14:ligatures w14:val="none"/>
          </w:rPr>
          <w:t>[1]</w:t>
        </w:r>
      </w:hyperlink>
      <w:r w:rsidRPr="003C68BB">
        <w:rPr>
          <w:rFonts w:ascii="Aptos" w:eastAsia="Aptos" w:hAnsi="Aptos" w:cs="Times New Roman"/>
          <w:kern w:val="0"/>
          <w14:ligatures w14:val="none"/>
        </w:rPr>
        <w:t>.</w:t>
      </w:r>
    </w:p>
    <w:p w14:paraId="67AB7A6E"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[3] European Medicines Agency – </w:t>
      </w:r>
      <w:r w:rsidRPr="003C68BB">
        <w:rPr>
          <w:rFonts w:ascii="Aptos" w:eastAsia="Aptos" w:hAnsi="Aptos" w:cs="Times New Roman"/>
          <w:i/>
          <w:iCs/>
          <w:kern w:val="0"/>
          <w14:ligatures w14:val="none"/>
        </w:rPr>
        <w:t>Good Manufacturing Practice (GMP) requirements</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“Any manufacturer of medicines intended for the EU market must comply with EU GMP no matter where they are located.”</w:t>
      </w:r>
      <w:r w:rsidRPr="003C68BB">
        <w:rPr>
          <w:rFonts w:ascii="Aptos" w:eastAsia="Aptos" w:hAnsi="Aptos" w:cs="Times New Roman"/>
          <w:kern w:val="0"/>
          <w14:ligatures w14:val="none"/>
        </w:rPr>
        <w:t>.</w:t>
      </w:r>
    </w:p>
    <w:p w14:paraId="3884C579"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[4] Consorcio de la Zona Especial Canaria – </w:t>
      </w:r>
      <w:r w:rsidRPr="003C68BB">
        <w:rPr>
          <w:rFonts w:ascii="Aptos" w:eastAsia="Aptos" w:hAnsi="Aptos" w:cs="Times New Roman"/>
          <w:i/>
          <w:iCs/>
          <w:kern w:val="0"/>
          <w14:ligatures w14:val="none"/>
        </w:rPr>
        <w:t>Green Hill Canarias S.L. inscription in Official Register (ROEZEC), Resolution 10 Oct 2024</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(Annex: INSCRIPCIÓN GREEN HILL EN ZEC, Exp. 38/23/0068)</w:t>
      </w:r>
      <w:r w:rsidRPr="003C68BB">
        <w:rPr>
          <w:rFonts w:ascii="Aptos" w:eastAsia="Aptos" w:hAnsi="Aptos" w:cs="Times New Roman"/>
          <w:kern w:val="0"/>
          <w14:ligatures w14:val="none"/>
        </w:rPr>
        <w:t>.</w:t>
      </w:r>
    </w:p>
    <w:p w14:paraId="589881EE"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[5] Green Hill Canarias Shareholders’ Agreement (SHA), 26 July 2024 – Clause 3.3.3: </w:t>
      </w:r>
      <w:r w:rsidRPr="003C68BB">
        <w:rPr>
          <w:rFonts w:ascii="Aptos" w:eastAsia="Aptos" w:hAnsi="Aptos" w:cs="Times New Roman"/>
          <w:i/>
          <w:iCs/>
          <w:kern w:val="0"/>
          <w14:ligatures w14:val="none"/>
        </w:rPr>
        <w:t>8% annual interest on Profit Participation Loans for contributions by 31 Dec 2024</w:t>
      </w:r>
      <w:r w:rsidRPr="003C68BB">
        <w:rPr>
          <w:rFonts w:ascii="Aptos" w:eastAsia="Aptos" w:hAnsi="Aptos" w:cs="Times New Roman"/>
          <w:kern w:val="0"/>
          <w14:ligatures w14:val="none"/>
        </w:rPr>
        <w:t>.</w:t>
      </w:r>
    </w:p>
    <w:p w14:paraId="6DBD7288"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[6] Green Hill Canarias SHA 2024 – Clause 3.3.4: </w:t>
      </w:r>
      <w:r w:rsidRPr="003C68BB">
        <w:rPr>
          <w:rFonts w:ascii="Aptos" w:eastAsia="Aptos" w:hAnsi="Aptos" w:cs="Times New Roman"/>
          <w:i/>
          <w:iCs/>
          <w:kern w:val="0"/>
          <w14:ligatures w14:val="none"/>
        </w:rPr>
        <w:t>Contributions after 2024 carry no fixed interest (to incentivize early investment</w:t>
      </w:r>
      <w:proofErr w:type="gramStart"/>
      <w:r w:rsidRPr="003C68BB">
        <w:rPr>
          <w:rFonts w:ascii="Aptos" w:eastAsia="Aptos" w:hAnsi="Aptos" w:cs="Times New Roman"/>
          <w:i/>
          <w:iCs/>
          <w:kern w:val="0"/>
          <w14:ligatures w14:val="none"/>
        </w:rPr>
        <w:t>).</w:t>
      </w:r>
      <w:r w:rsidRPr="003C68BB">
        <w:rPr>
          <w:rFonts w:ascii="Aptos" w:eastAsia="Aptos" w:hAnsi="Aptos" w:cs="Times New Roman"/>
          <w:kern w:val="0"/>
          <w14:ligatures w14:val="none"/>
        </w:rPr>
        <w:t>.</w:t>
      </w:r>
      <w:proofErr w:type="gramEnd"/>
    </w:p>
    <w:p w14:paraId="17DFBAE7"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[7] Green Hill Canarias SHA 2024 – Board Composition clauses (Sec. 5.x): </w:t>
      </w:r>
      <w:r w:rsidRPr="003C68BB">
        <w:rPr>
          <w:rFonts w:ascii="Aptos" w:eastAsia="Aptos" w:hAnsi="Aptos" w:cs="Times New Roman"/>
          <w:i/>
          <w:iCs/>
          <w:kern w:val="0"/>
          <w14:ligatures w14:val="none"/>
        </w:rPr>
        <w:t xml:space="preserve">Investors (Class B) appoint 3 of 5 directors; Founders (Class A) can appoint up to 2 if each retains ≥5% </w:t>
      </w:r>
      <w:proofErr w:type="gramStart"/>
      <w:r w:rsidRPr="003C68BB">
        <w:rPr>
          <w:rFonts w:ascii="Aptos" w:eastAsia="Aptos" w:hAnsi="Aptos" w:cs="Times New Roman"/>
          <w:i/>
          <w:iCs/>
          <w:kern w:val="0"/>
          <w14:ligatures w14:val="none"/>
        </w:rPr>
        <w:t>equity.</w:t>
      </w:r>
      <w:r w:rsidRPr="003C68BB">
        <w:rPr>
          <w:rFonts w:ascii="Aptos" w:eastAsia="Aptos" w:hAnsi="Aptos" w:cs="Times New Roman"/>
          <w:kern w:val="0"/>
          <w14:ligatures w14:val="none"/>
        </w:rPr>
        <w:t>.</w:t>
      </w:r>
      <w:proofErr w:type="gramEnd"/>
    </w:p>
    <w:p w14:paraId="7D11EE2E"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[8] Green Hill Canarias SHA 2024 – Board Majority provision: </w:t>
      </w:r>
      <w:r w:rsidRPr="003C68BB">
        <w:rPr>
          <w:rFonts w:ascii="Aptos" w:eastAsia="Aptos" w:hAnsi="Aptos" w:cs="Times New Roman"/>
          <w:i/>
          <w:iCs/>
          <w:kern w:val="0"/>
          <w14:ligatures w14:val="none"/>
        </w:rPr>
        <w:t xml:space="preserve">Investor-appointed directors form majority; one serves as </w:t>
      </w:r>
      <w:proofErr w:type="gramStart"/>
      <w:r w:rsidRPr="003C68BB">
        <w:rPr>
          <w:rFonts w:ascii="Aptos" w:eastAsia="Aptos" w:hAnsi="Aptos" w:cs="Times New Roman"/>
          <w:i/>
          <w:iCs/>
          <w:kern w:val="0"/>
          <w14:ligatures w14:val="none"/>
        </w:rPr>
        <w:t>Chairperson.</w:t>
      </w:r>
      <w:r w:rsidRPr="003C68BB">
        <w:rPr>
          <w:rFonts w:ascii="Aptos" w:eastAsia="Aptos" w:hAnsi="Aptos" w:cs="Times New Roman"/>
          <w:kern w:val="0"/>
          <w14:ligatures w14:val="none"/>
        </w:rPr>
        <w:t>.</w:t>
      </w:r>
      <w:proofErr w:type="gramEnd"/>
    </w:p>
    <w:p w14:paraId="33EB58BE"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[9] Green Hill Canarias SHA 2024 – Supermajority/Veto clause: </w:t>
      </w:r>
      <w:r w:rsidRPr="003C68BB">
        <w:rPr>
          <w:rFonts w:ascii="Aptos" w:eastAsia="Aptos" w:hAnsi="Aptos" w:cs="Times New Roman"/>
          <w:i/>
          <w:iCs/>
          <w:kern w:val="0"/>
          <w14:ligatures w14:val="none"/>
        </w:rPr>
        <w:t xml:space="preserve">≥66% shareholder approval required for issuing new shares, incurring significant debt, M&amp;A, or altering </w:t>
      </w:r>
      <w:proofErr w:type="gramStart"/>
      <w:r w:rsidRPr="003C68BB">
        <w:rPr>
          <w:rFonts w:ascii="Aptos" w:eastAsia="Aptos" w:hAnsi="Aptos" w:cs="Times New Roman"/>
          <w:i/>
          <w:iCs/>
          <w:kern w:val="0"/>
          <w14:ligatures w14:val="none"/>
        </w:rPr>
        <w:t>rights.</w:t>
      </w:r>
      <w:r w:rsidRPr="003C68BB">
        <w:rPr>
          <w:rFonts w:ascii="Aptos" w:eastAsia="Aptos" w:hAnsi="Aptos" w:cs="Times New Roman"/>
          <w:kern w:val="0"/>
          <w14:ligatures w14:val="none"/>
        </w:rPr>
        <w:t>.</w:t>
      </w:r>
      <w:proofErr w:type="gramEnd"/>
    </w:p>
    <w:p w14:paraId="66B83894"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[10] Green Hill Canarias SHA 2024 – Reserved Matters list: </w:t>
      </w:r>
      <w:r w:rsidRPr="003C68BB">
        <w:rPr>
          <w:rFonts w:ascii="Aptos" w:eastAsia="Aptos" w:hAnsi="Aptos" w:cs="Times New Roman"/>
          <w:i/>
          <w:iCs/>
          <w:kern w:val="0"/>
          <w14:ligatures w14:val="none"/>
        </w:rPr>
        <w:t xml:space="preserve">Major decisions (detailed in SHA Schedule) subject to investor veto via supermajority </w:t>
      </w:r>
      <w:proofErr w:type="gramStart"/>
      <w:r w:rsidRPr="003C68BB">
        <w:rPr>
          <w:rFonts w:ascii="Aptos" w:eastAsia="Aptos" w:hAnsi="Aptos" w:cs="Times New Roman"/>
          <w:i/>
          <w:iCs/>
          <w:kern w:val="0"/>
          <w14:ligatures w14:val="none"/>
        </w:rPr>
        <w:t>requirement.</w:t>
      </w:r>
      <w:r w:rsidRPr="003C68BB">
        <w:rPr>
          <w:rFonts w:ascii="Aptos" w:eastAsia="Aptos" w:hAnsi="Aptos" w:cs="Times New Roman"/>
          <w:kern w:val="0"/>
          <w14:ligatures w14:val="none"/>
        </w:rPr>
        <w:t>.</w:t>
      </w:r>
      <w:proofErr w:type="gramEnd"/>
    </w:p>
    <w:p w14:paraId="445F7183"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[11] Prohibition Partners – </w:t>
      </w:r>
      <w:r w:rsidRPr="003C68BB">
        <w:rPr>
          <w:rFonts w:ascii="Aptos" w:eastAsia="Aptos" w:hAnsi="Aptos" w:cs="Times New Roman"/>
          <w:i/>
          <w:iCs/>
          <w:kern w:val="0"/>
          <w14:ligatures w14:val="none"/>
        </w:rPr>
        <w:t>German Cannabis Report 2024:</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German medical cannabis sales expected ~€420M in 2024, rising to &gt;€1B by 2028</w:t>
      </w:r>
      <w:r w:rsidRPr="003C68BB">
        <w:rPr>
          <w:rFonts w:ascii="Aptos" w:eastAsia="Aptos" w:hAnsi="Aptos" w:cs="Times New Roman"/>
          <w:kern w:val="0"/>
          <w14:ligatures w14:val="none"/>
        </w:rPr>
        <w:t>.</w:t>
      </w:r>
    </w:p>
    <w:p w14:paraId="1C929013"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[12] Honeysuckle Magazine (2024) – </w:t>
      </w:r>
      <w:r w:rsidRPr="003C68BB">
        <w:rPr>
          <w:rFonts w:ascii="Aptos" w:eastAsia="Aptos" w:hAnsi="Aptos" w:cs="Times New Roman"/>
          <w:i/>
          <w:iCs/>
          <w:kern w:val="0"/>
          <w14:ligatures w14:val="none"/>
        </w:rPr>
        <w:t>“Germany’s Medical Cannabis Boom”</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By Dec 2024, prescriptions were up &gt;1000% vs. Mar 2024 after reclassification of cannabis</w:t>
      </w:r>
      <w:r w:rsidRPr="003C68BB">
        <w:rPr>
          <w:rFonts w:ascii="Aptos" w:eastAsia="Aptos" w:hAnsi="Aptos" w:cs="Times New Roman"/>
          <w:kern w:val="0"/>
          <w14:ligatures w14:val="none"/>
        </w:rPr>
        <w:t>.</w:t>
      </w:r>
    </w:p>
    <w:p w14:paraId="3DADE871"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[13] Honeysuckle Magazine – </w:t>
      </w:r>
      <w:proofErr w:type="spellStart"/>
      <w:r w:rsidRPr="003C68BB">
        <w:rPr>
          <w:rFonts w:ascii="Aptos" w:eastAsia="Aptos" w:hAnsi="Aptos" w:cs="Times New Roman"/>
          <w:i/>
          <w:iCs/>
          <w:kern w:val="0"/>
          <w14:ligatures w14:val="none"/>
        </w:rPr>
        <w:t>Bloomwell</w:t>
      </w:r>
      <w:proofErr w:type="spellEnd"/>
      <w:r w:rsidRPr="003C68BB">
        <w:rPr>
          <w:rFonts w:ascii="Aptos" w:eastAsia="Aptos" w:hAnsi="Aptos" w:cs="Times New Roman"/>
          <w:i/>
          <w:iCs/>
          <w:kern w:val="0"/>
          <w14:ligatures w14:val="none"/>
        </w:rPr>
        <w:t xml:space="preserve"> “Cannabis-Barometer” report insights:</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End-2024, number of cannabis prescriptions issued was 1000% higher than March 2024, indicating surge in self-paying patients</w:t>
      </w:r>
      <w:r w:rsidRPr="003C68BB">
        <w:rPr>
          <w:rFonts w:ascii="Aptos" w:eastAsia="Aptos" w:hAnsi="Aptos" w:cs="Times New Roman"/>
          <w:kern w:val="0"/>
          <w14:ligatures w14:val="none"/>
        </w:rPr>
        <w:t>.</w:t>
      </w:r>
    </w:p>
    <w:p w14:paraId="53BB1216"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[14] Prohibition Partners – </w:t>
      </w:r>
      <w:r w:rsidRPr="003C68BB">
        <w:rPr>
          <w:rFonts w:ascii="Aptos" w:eastAsia="Aptos" w:hAnsi="Aptos" w:cs="Times New Roman"/>
          <w:i/>
          <w:iCs/>
          <w:kern w:val="0"/>
          <w14:ligatures w14:val="none"/>
        </w:rPr>
        <w:t>German imports Q2 2024:</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Medical cannabis imports reached 11,706 kg in Q2 2024, +44% QoQ, reflecting record demand</w:t>
      </w:r>
      <w:r w:rsidRPr="003C68BB">
        <w:rPr>
          <w:rFonts w:ascii="Aptos" w:eastAsia="Aptos" w:hAnsi="Aptos" w:cs="Times New Roman"/>
          <w:kern w:val="0"/>
          <w14:ligatures w14:val="none"/>
        </w:rPr>
        <w:t>.</w:t>
      </w:r>
    </w:p>
    <w:p w14:paraId="4AB1CA6E"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lastRenderedPageBreak/>
        <w:t xml:space="preserve">[15] Service-Public.fr (French Govt) – </w:t>
      </w:r>
      <w:r w:rsidRPr="003C68BB">
        <w:rPr>
          <w:rFonts w:ascii="Aptos" w:eastAsia="Aptos" w:hAnsi="Aptos" w:cs="Times New Roman"/>
          <w:i/>
          <w:iCs/>
          <w:kern w:val="0"/>
          <w14:ligatures w14:val="none"/>
        </w:rPr>
        <w:t>Medical Cannabis Trial Extension:</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France extended its medical cannabis pilot program through March 2026 to ensure continuity of care</w:t>
      </w:r>
      <w:hyperlink r:id="rId6" w:anchor=":~:text=continuity%20of%20patient%20care,hubs%2C%20leveraging%20favorable%20climates%20or">
        <w:r w:rsidRPr="003C68BB">
          <w:rPr>
            <w:rFonts w:ascii="Aptos" w:eastAsia="Aptos" w:hAnsi="Aptos" w:cs="Times New Roman"/>
            <w:color w:val="156082"/>
            <w:kern w:val="0"/>
            <w14:ligatures w14:val="none"/>
          </w:rPr>
          <w:t>[2]</w:t>
        </w:r>
      </w:hyperlink>
      <w:r w:rsidRPr="003C68BB">
        <w:rPr>
          <w:rFonts w:ascii="Aptos" w:eastAsia="Aptos" w:hAnsi="Aptos" w:cs="Times New Roman"/>
          <w:kern w:val="0"/>
          <w14:ligatures w14:val="none"/>
        </w:rPr>
        <w:t>.</w:t>
      </w:r>
    </w:p>
    <w:p w14:paraId="21AFC224"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[16] Business of Cannabis (EU) – </w:t>
      </w:r>
      <w:r w:rsidRPr="003C68BB">
        <w:rPr>
          <w:rFonts w:ascii="Aptos" w:eastAsia="Aptos" w:hAnsi="Aptos" w:cs="Times New Roman"/>
          <w:i/>
          <w:iCs/>
          <w:kern w:val="0"/>
          <w14:ligatures w14:val="none"/>
        </w:rPr>
        <w:t>Switzerland adult-use</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Switzerland could be Europe’s first fully legal adult-use market by 2026 (pilot projects underway)</w:t>
      </w:r>
      <w:r w:rsidRPr="003C68BB">
        <w:rPr>
          <w:rFonts w:ascii="Aptos" w:eastAsia="Aptos" w:hAnsi="Aptos" w:cs="Times New Roman"/>
          <w:kern w:val="0"/>
          <w14:ligatures w14:val="none"/>
        </w:rPr>
        <w:t>.</w:t>
      </w:r>
    </w:p>
    <w:p w14:paraId="6EB7B34C"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[17] Business of Cannabis – </w:t>
      </w:r>
      <w:r w:rsidRPr="003C68BB">
        <w:rPr>
          <w:rFonts w:ascii="Aptos" w:eastAsia="Aptos" w:hAnsi="Aptos" w:cs="Times New Roman"/>
          <w:i/>
          <w:iCs/>
          <w:kern w:val="0"/>
          <w14:ligatures w14:val="none"/>
        </w:rPr>
        <w:t>Swiss cannabis liberalization</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(Same as [16] above – Swiss regulatory changes enabling broader access)</w:t>
      </w:r>
      <w:r w:rsidRPr="003C68BB">
        <w:rPr>
          <w:rFonts w:ascii="Aptos" w:eastAsia="Aptos" w:hAnsi="Aptos" w:cs="Times New Roman"/>
          <w:kern w:val="0"/>
          <w14:ligatures w14:val="none"/>
        </w:rPr>
        <w:t>.</w:t>
      </w:r>
    </w:p>
    <w:p w14:paraId="18664ABF"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[18] Business of Cannabis – </w:t>
      </w:r>
      <w:r w:rsidRPr="003C68BB">
        <w:rPr>
          <w:rFonts w:ascii="Aptos" w:eastAsia="Aptos" w:hAnsi="Aptos" w:cs="Times New Roman"/>
          <w:i/>
          <w:iCs/>
          <w:kern w:val="0"/>
          <w14:ligatures w14:val="none"/>
        </w:rPr>
        <w:t>Czech Republic exports</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Czech Republic’s 2024 medical cannabis harvest ~4.66 tons, with &gt;4.4 tons exported (mostly to Germany)</w:t>
      </w:r>
      <w:r w:rsidRPr="003C68BB">
        <w:rPr>
          <w:rFonts w:ascii="Aptos" w:eastAsia="Aptos" w:hAnsi="Aptos" w:cs="Times New Roman"/>
          <w:kern w:val="0"/>
          <w14:ligatures w14:val="none"/>
        </w:rPr>
        <w:t>.</w:t>
      </w:r>
    </w:p>
    <w:p w14:paraId="274E36AA"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[19] Business of Cannabis – </w:t>
      </w:r>
      <w:r w:rsidRPr="003C68BB">
        <w:rPr>
          <w:rFonts w:ascii="Aptos" w:eastAsia="Aptos" w:hAnsi="Aptos" w:cs="Times New Roman"/>
          <w:i/>
          <w:iCs/>
          <w:kern w:val="0"/>
          <w14:ligatures w14:val="none"/>
        </w:rPr>
        <w:t>Czech decriminalization path</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Czech Republic moving to decriminalize adult use by 2026, medical exports already growing</w:t>
      </w:r>
      <w:r w:rsidRPr="003C68BB">
        <w:rPr>
          <w:rFonts w:ascii="Aptos" w:eastAsia="Aptos" w:hAnsi="Aptos" w:cs="Times New Roman"/>
          <w:kern w:val="0"/>
          <w14:ligatures w14:val="none"/>
        </w:rPr>
        <w:t>.</w:t>
      </w:r>
    </w:p>
    <w:p w14:paraId="7E93D0DA"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[20] Prohibition Partners – </w:t>
      </w:r>
      <w:r w:rsidRPr="003C68BB">
        <w:rPr>
          <w:rFonts w:ascii="Aptos" w:eastAsia="Aptos" w:hAnsi="Aptos" w:cs="Times New Roman"/>
          <w:i/>
          <w:iCs/>
          <w:kern w:val="0"/>
          <w14:ligatures w14:val="none"/>
        </w:rPr>
        <w:t>Cannabis in Europe Update (Feb 2025)</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European medical cannabis market expected to ~5x from €2.6B in 2024 to ~€12.6B by 2033, ~18% CAGR, driven by new country programs and greater acceptance.</w:t>
      </w:r>
      <w:r w:rsidRPr="003C68BB">
        <w:rPr>
          <w:rFonts w:ascii="Aptos" w:eastAsia="Aptos" w:hAnsi="Aptos" w:cs="Times New Roman"/>
          <w:kern w:val="0"/>
          <w14:ligatures w14:val="none"/>
        </w:rPr>
        <w:t xml:space="preserve"> (Source: </w:t>
      </w:r>
      <w:r w:rsidRPr="003C68BB">
        <w:rPr>
          <w:rFonts w:ascii="Aptos" w:eastAsia="Aptos" w:hAnsi="Aptos" w:cs="Times New Roman"/>
          <w:b/>
          <w:bCs/>
          <w:kern w:val="0"/>
          <w14:ligatures w14:val="none"/>
        </w:rPr>
        <w:t>Cannabis_in_Europe_Update_2_Feb2025.pdf</w:t>
      </w:r>
      <w:r w:rsidRPr="003C68BB">
        <w:rPr>
          <w:rFonts w:ascii="Aptos" w:eastAsia="Aptos" w:hAnsi="Aptos" w:cs="Times New Roman"/>
          <w:kern w:val="0"/>
          <w14:ligatures w14:val="none"/>
        </w:rPr>
        <w:t>, Prohibition Partners).</w:t>
      </w:r>
    </w:p>
    <w:p w14:paraId="07C024C6"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[21] Cannabis Industry Journal – </w:t>
      </w:r>
      <w:r w:rsidRPr="003C68BB">
        <w:rPr>
          <w:rFonts w:ascii="Aptos" w:eastAsia="Aptos" w:hAnsi="Aptos" w:cs="Times New Roman"/>
          <w:i/>
          <w:iCs/>
          <w:kern w:val="0"/>
          <w14:ligatures w14:val="none"/>
        </w:rPr>
        <w:t>Q1 2018 EU Market Update:</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“Right now, the legal market is absolutely dominated by Canopy, Aurora, Aphria and Tilray along with Dutch Bedrocan.”</w:t>
      </w:r>
      <w:r w:rsidRPr="003C68BB">
        <w:rPr>
          <w:rFonts w:ascii="Aptos" w:eastAsia="Aptos" w:hAnsi="Aptos" w:cs="Times New Roman"/>
          <w:kern w:val="0"/>
          <w14:ligatures w14:val="none"/>
        </w:rPr>
        <w:t xml:space="preserve"> (Illustrating early market concentration by Canadian LPs)</w:t>
      </w:r>
      <w:hyperlink r:id="rId7" w:anchor=":~:text=another%20way%20,Tilray%20along%20with%20Dutch%20Bedrocan">
        <w:r w:rsidRPr="003C68BB">
          <w:rPr>
            <w:rFonts w:ascii="Aptos" w:eastAsia="Aptos" w:hAnsi="Aptos" w:cs="Times New Roman"/>
            <w:color w:val="156082"/>
            <w:kern w:val="0"/>
            <w14:ligatures w14:val="none"/>
          </w:rPr>
          <w:t>[3]</w:t>
        </w:r>
      </w:hyperlink>
      <w:r w:rsidRPr="003C68BB">
        <w:rPr>
          <w:rFonts w:ascii="Aptos" w:eastAsia="Aptos" w:hAnsi="Aptos" w:cs="Times New Roman"/>
          <w:kern w:val="0"/>
          <w14:ligatures w14:val="none"/>
        </w:rPr>
        <w:t>.</w:t>
      </w:r>
    </w:p>
    <w:p w14:paraId="714F70DB"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[22] Molecules (MDPI) 2022, 27(5), 1719 – </w:t>
      </w:r>
      <w:r w:rsidRPr="003C68BB">
        <w:rPr>
          <w:rFonts w:ascii="Aptos" w:eastAsia="Aptos" w:hAnsi="Aptos" w:cs="Times New Roman"/>
          <w:i/>
          <w:iCs/>
          <w:kern w:val="0"/>
          <w14:ligatures w14:val="none"/>
        </w:rPr>
        <w:t>Post-Harvest Operations Review:</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Vacuum freeze-drying is the best method for drying medicinal Cannabis, retaining maximal active compounds and preventing microbial activity</w:t>
      </w:r>
      <w:r w:rsidRPr="003C68BB">
        <w:rPr>
          <w:rFonts w:ascii="Aptos" w:eastAsia="Aptos" w:hAnsi="Aptos" w:cs="Times New Roman"/>
          <w:kern w:val="0"/>
          <w14:ligatures w14:val="none"/>
        </w:rPr>
        <w:t>.</w:t>
      </w:r>
    </w:p>
    <w:p w14:paraId="0FA972DA"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[23] Qualipharma – </w:t>
      </w:r>
      <w:r w:rsidRPr="003C68BB">
        <w:rPr>
          <w:rFonts w:ascii="Aptos" w:eastAsia="Aptos" w:hAnsi="Aptos" w:cs="Times New Roman"/>
          <w:i/>
          <w:iCs/>
          <w:kern w:val="0"/>
          <w14:ligatures w14:val="none"/>
        </w:rPr>
        <w:t>Regulatory Dossier Timeline:</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Green Hill’s regulatory consultants indicate AEMPS permit achievable by ~Aug 2025 given early dossier prep and engagement.</w:t>
      </w:r>
      <w:r w:rsidRPr="003C68BB">
        <w:rPr>
          <w:rFonts w:ascii="Aptos" w:eastAsia="Aptos" w:hAnsi="Aptos" w:cs="Times New Roman"/>
          <w:kern w:val="0"/>
          <w14:ligatures w14:val="none"/>
        </w:rPr>
        <w:t xml:space="preserve"> (Internal communication, 2024).</w:t>
      </w:r>
    </w:p>
    <w:p w14:paraId="72A7E13F"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[24] Green Hill Internal Plan – </w:t>
      </w:r>
      <w:r w:rsidRPr="003C68BB">
        <w:rPr>
          <w:rFonts w:ascii="Aptos" w:eastAsia="Aptos" w:hAnsi="Aptos" w:cs="Times New Roman"/>
          <w:i/>
          <w:iCs/>
          <w:kern w:val="0"/>
          <w14:ligatures w14:val="none"/>
        </w:rPr>
        <w:t>Licensing Schedule:</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Parallel submission strategy to accelerate AEMPS approval by Q3 2025.</w:t>
      </w:r>
      <w:r w:rsidRPr="003C68BB">
        <w:rPr>
          <w:rFonts w:ascii="Aptos" w:eastAsia="Aptos" w:hAnsi="Aptos" w:cs="Times New Roman"/>
          <w:kern w:val="0"/>
          <w14:ligatures w14:val="none"/>
        </w:rPr>
        <w:t xml:space="preserve"> (Project Gantt, Rev. Jan 2025).</w:t>
      </w:r>
    </w:p>
    <w:p w14:paraId="2D7915BD"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[25] Green Hill Financial Model – </w:t>
      </w:r>
      <w:r w:rsidRPr="003C68BB">
        <w:rPr>
          <w:rFonts w:ascii="Aptos" w:eastAsia="Aptos" w:hAnsi="Aptos" w:cs="Times New Roman"/>
          <w:i/>
          <w:iCs/>
          <w:kern w:val="0"/>
          <w14:ligatures w14:val="none"/>
        </w:rPr>
        <w:t>Contingency for Certification Delay:</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Plan includes cash buffer to Q4 2026, ensuring operations even if GMP certification slips a quarter.</w:t>
      </w:r>
      <w:r w:rsidRPr="003C68BB">
        <w:rPr>
          <w:rFonts w:ascii="Aptos" w:eastAsia="Aptos" w:hAnsi="Aptos" w:cs="Times New Roman"/>
          <w:kern w:val="0"/>
          <w14:ligatures w14:val="none"/>
        </w:rPr>
        <w:t xml:space="preserve"> (Financial Annex, 2025).</w:t>
      </w:r>
    </w:p>
    <w:p w14:paraId="1943C436"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[26] EU Directive 2004/27/EC (Art. 56a) – </w:t>
      </w:r>
      <w:r w:rsidRPr="003C68BB">
        <w:rPr>
          <w:rFonts w:ascii="Aptos" w:eastAsia="Aptos" w:hAnsi="Aptos" w:cs="Times New Roman"/>
          <w:i/>
          <w:iCs/>
          <w:kern w:val="0"/>
          <w14:ligatures w14:val="none"/>
        </w:rPr>
        <w:t>Medicinal product packaging:</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All medicine packages in the EU must include Braille labeling for product name and key info</w:t>
      </w:r>
      <w:hyperlink r:id="rId8" w:anchor=":~:text=However%2C%20stemming%20from%20an%20EU,and%20touchable%20for%20Braille%20users">
        <w:r w:rsidRPr="003C68BB">
          <w:rPr>
            <w:rFonts w:ascii="Aptos" w:eastAsia="Aptos" w:hAnsi="Aptos" w:cs="Times New Roman"/>
            <w:i/>
            <w:iCs/>
            <w:color w:val="156082"/>
            <w:kern w:val="0"/>
            <w14:ligatures w14:val="none"/>
          </w:rPr>
          <w:t>[6]</w:t>
        </w:r>
      </w:hyperlink>
      <w:r w:rsidRPr="003C68BB">
        <w:rPr>
          <w:rFonts w:ascii="Aptos" w:eastAsia="Aptos" w:hAnsi="Aptos" w:cs="Times New Roman"/>
          <w:i/>
          <w:iCs/>
          <w:kern w:val="0"/>
          <w14:ligatures w14:val="none"/>
        </w:rPr>
        <w:t>.</w:t>
      </w:r>
      <w:r w:rsidRPr="003C68BB">
        <w:rPr>
          <w:rFonts w:ascii="Aptos" w:eastAsia="Aptos" w:hAnsi="Aptos" w:cs="Times New Roman"/>
          <w:kern w:val="0"/>
          <w14:ligatures w14:val="none"/>
        </w:rPr>
        <w:t xml:space="preserve"> (Braille requirement effective since 2005).</w:t>
      </w:r>
    </w:p>
    <w:p w14:paraId="57CB0935"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[27] EU Directive 2001/83/EC (Art. 63(1)) – </w:t>
      </w:r>
      <w:r w:rsidRPr="003C68BB">
        <w:rPr>
          <w:rFonts w:ascii="Aptos" w:eastAsia="Aptos" w:hAnsi="Aptos" w:cs="Times New Roman"/>
          <w:i/>
          <w:iCs/>
          <w:kern w:val="0"/>
          <w14:ligatures w14:val="none"/>
        </w:rPr>
        <w:t>Multilingual Packaging:</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Permits use of multiple languages on labelling/leaflet, provided the same information appears in all languages</w:t>
      </w:r>
      <w:hyperlink r:id="rId9" w:anchor=":~:text=Directive%202001%2F83%2FEC%2C%20Article%2063,this%20is%20text%20captured%20within">
        <w:r w:rsidRPr="003C68BB">
          <w:rPr>
            <w:rFonts w:ascii="Aptos" w:eastAsia="Aptos" w:hAnsi="Aptos" w:cs="Times New Roman"/>
            <w:i/>
            <w:iCs/>
            <w:color w:val="156082"/>
            <w:kern w:val="0"/>
            <w14:ligatures w14:val="none"/>
          </w:rPr>
          <w:t>[7]</w:t>
        </w:r>
      </w:hyperlink>
      <w:r w:rsidRPr="003C68BB">
        <w:rPr>
          <w:rFonts w:ascii="Aptos" w:eastAsia="Aptos" w:hAnsi="Aptos" w:cs="Times New Roman"/>
          <w:i/>
          <w:iCs/>
          <w:kern w:val="0"/>
          <w14:ligatures w14:val="none"/>
        </w:rPr>
        <w:t>.</w:t>
      </w:r>
      <w:r w:rsidRPr="003C68BB">
        <w:rPr>
          <w:rFonts w:ascii="Aptos" w:eastAsia="Aptos" w:hAnsi="Aptos" w:cs="Times New Roman"/>
          <w:kern w:val="0"/>
          <w14:ligatures w14:val="none"/>
        </w:rPr>
        <w:t xml:space="preserve"> (</w:t>
      </w:r>
      <w:proofErr w:type="spellStart"/>
      <w:r w:rsidRPr="003C68BB">
        <w:rPr>
          <w:rFonts w:ascii="Aptos" w:eastAsia="Aptos" w:hAnsi="Aptos" w:cs="Times New Roman"/>
          <w:kern w:val="0"/>
          <w14:ligatures w14:val="none"/>
        </w:rPr>
        <w:t>CMDh</w:t>
      </w:r>
      <w:proofErr w:type="spellEnd"/>
      <w:r w:rsidRPr="003C68BB">
        <w:rPr>
          <w:rFonts w:ascii="Aptos" w:eastAsia="Aptos" w:hAnsi="Aptos" w:cs="Times New Roman"/>
          <w:kern w:val="0"/>
          <w14:ligatures w14:val="none"/>
        </w:rPr>
        <w:t xml:space="preserve"> Best Practice Guide on Multilingual Packaging, 2021).</w:t>
      </w:r>
    </w:p>
    <w:p w14:paraId="232D1BEF"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lastRenderedPageBreak/>
        <w:t xml:space="preserve">[28] </w:t>
      </w:r>
      <w:proofErr w:type="spellStart"/>
      <w:r w:rsidRPr="003C68BB">
        <w:rPr>
          <w:rFonts w:ascii="Aptos" w:eastAsia="Aptos" w:hAnsi="Aptos" w:cs="Times New Roman"/>
          <w:kern w:val="0"/>
          <w14:ligatures w14:val="none"/>
        </w:rPr>
        <w:t>Valtria</w:t>
      </w:r>
      <w:proofErr w:type="spellEnd"/>
      <w:r w:rsidRPr="003C68BB">
        <w:rPr>
          <w:rFonts w:ascii="Aptos" w:eastAsia="Aptos" w:hAnsi="Aptos" w:cs="Times New Roman"/>
          <w:kern w:val="0"/>
          <w14:ligatures w14:val="none"/>
        </w:rPr>
        <w:t xml:space="preserve"> Engineering Memo (2024) – </w:t>
      </w:r>
      <w:r w:rsidRPr="003C68BB">
        <w:rPr>
          <w:rFonts w:ascii="Aptos" w:eastAsia="Aptos" w:hAnsi="Aptos" w:cs="Times New Roman"/>
          <w:i/>
          <w:iCs/>
          <w:kern w:val="0"/>
          <w14:ligatures w14:val="none"/>
        </w:rPr>
        <w:t>Facility HVAC Design:</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Design includes pressure cascade (higher pressure in clean areas) and &gt;20 air changes/hour in processing, per EU GMP Annex 1.</w:t>
      </w:r>
      <w:r w:rsidRPr="003C68BB">
        <w:rPr>
          <w:rFonts w:ascii="Aptos" w:eastAsia="Aptos" w:hAnsi="Aptos" w:cs="Times New Roman"/>
          <w:kern w:val="0"/>
          <w14:ligatures w14:val="none"/>
        </w:rPr>
        <w:t xml:space="preserve"> (</w:t>
      </w:r>
      <w:proofErr w:type="spellStart"/>
      <w:r w:rsidRPr="003C68BB">
        <w:rPr>
          <w:rFonts w:ascii="Aptos" w:eastAsia="Aptos" w:hAnsi="Aptos" w:cs="Times New Roman"/>
          <w:kern w:val="0"/>
          <w14:ligatures w14:val="none"/>
        </w:rPr>
        <w:t>Valtria</w:t>
      </w:r>
      <w:proofErr w:type="spellEnd"/>
      <w:r w:rsidRPr="003C68BB">
        <w:rPr>
          <w:rFonts w:ascii="Aptos" w:eastAsia="Aptos" w:hAnsi="Aptos" w:cs="Times New Roman"/>
          <w:kern w:val="0"/>
          <w14:ligatures w14:val="none"/>
        </w:rPr>
        <w:t xml:space="preserve"> Memo #5040-2411-764-MEM).</w:t>
      </w:r>
    </w:p>
    <w:p w14:paraId="149565F6"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[29] WHO/EU GMP Guidelines – </w:t>
      </w:r>
      <w:r w:rsidRPr="003C68BB">
        <w:rPr>
          <w:rFonts w:ascii="Aptos" w:eastAsia="Aptos" w:hAnsi="Aptos" w:cs="Times New Roman"/>
          <w:i/>
          <w:iCs/>
          <w:kern w:val="0"/>
          <w14:ligatures w14:val="none"/>
        </w:rPr>
        <w:t>Cleanroom Differentials:</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Maintain positive pressure in critical areas to keep contaminants out.</w:t>
      </w:r>
      <w:r w:rsidRPr="003C68BB">
        <w:rPr>
          <w:rFonts w:ascii="Aptos" w:eastAsia="Aptos" w:hAnsi="Aptos" w:cs="Times New Roman"/>
          <w:kern w:val="0"/>
          <w14:ligatures w14:val="none"/>
        </w:rPr>
        <w:t xml:space="preserve"> (GMP Manual, Part I, Sec. 3).</w:t>
      </w:r>
    </w:p>
    <w:p w14:paraId="42754271"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[30] EU GMP Annex 1 (rev 2022) – </w:t>
      </w:r>
      <w:r w:rsidRPr="003C68BB">
        <w:rPr>
          <w:rFonts w:ascii="Aptos" w:eastAsia="Aptos" w:hAnsi="Aptos" w:cs="Times New Roman"/>
          <w:i/>
          <w:iCs/>
          <w:kern w:val="0"/>
          <w14:ligatures w14:val="none"/>
        </w:rPr>
        <w:t>Environmental Control:</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HEPA filtration and ISO 8 equivalent conditions required for non-sterile medicinal plant processing.</w:t>
      </w:r>
      <w:r w:rsidRPr="003C68BB">
        <w:rPr>
          <w:rFonts w:ascii="Aptos" w:eastAsia="Aptos" w:hAnsi="Aptos" w:cs="Times New Roman"/>
          <w:kern w:val="0"/>
          <w14:ligatures w14:val="none"/>
        </w:rPr>
        <w:t xml:space="preserve"> (Guidance on HVAC for GMP facilities).</w:t>
      </w:r>
    </w:p>
    <w:p w14:paraId="2782CC1C"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[31] </w:t>
      </w:r>
      <w:proofErr w:type="spellStart"/>
      <w:r w:rsidRPr="003C68BB">
        <w:rPr>
          <w:rFonts w:ascii="Aptos" w:eastAsia="Aptos" w:hAnsi="Aptos" w:cs="Times New Roman"/>
          <w:kern w:val="0"/>
          <w14:ligatures w14:val="none"/>
        </w:rPr>
        <w:t>Valtria</w:t>
      </w:r>
      <w:proofErr w:type="spellEnd"/>
      <w:r w:rsidRPr="003C68BB">
        <w:rPr>
          <w:rFonts w:ascii="Aptos" w:eastAsia="Aptos" w:hAnsi="Aptos" w:cs="Times New Roman"/>
          <w:kern w:val="0"/>
          <w14:ligatures w14:val="none"/>
        </w:rPr>
        <w:t xml:space="preserve"> Memo 5040-2411-764-MEM-02.00 – </w:t>
      </w:r>
      <w:r w:rsidRPr="003C68BB">
        <w:rPr>
          <w:rFonts w:ascii="Aptos" w:eastAsia="Aptos" w:hAnsi="Aptos" w:cs="Times New Roman"/>
          <w:i/>
          <w:iCs/>
          <w:kern w:val="0"/>
          <w14:ligatures w14:val="none"/>
        </w:rPr>
        <w:t>HVAC Commissioning Specs:</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Details on temperature (22–25°C), humidity (~50% RH) controls and redundant systems.</w:t>
      </w:r>
      <w:r w:rsidRPr="003C68BB">
        <w:rPr>
          <w:rFonts w:ascii="Aptos" w:eastAsia="Aptos" w:hAnsi="Aptos" w:cs="Times New Roman"/>
          <w:kern w:val="0"/>
          <w14:ligatures w14:val="none"/>
        </w:rPr>
        <w:t xml:space="preserve"> (Engineering design document, Oct 2024).</w:t>
      </w:r>
    </w:p>
    <w:p w14:paraId="5FDD0697"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[32] Qualipharma QA Protocol (2025) – </w:t>
      </w:r>
      <w:r w:rsidRPr="003C68BB">
        <w:rPr>
          <w:rFonts w:ascii="Aptos" w:eastAsia="Aptos" w:hAnsi="Aptos" w:cs="Times New Roman"/>
          <w:i/>
          <w:iCs/>
          <w:kern w:val="0"/>
          <w14:ligatures w14:val="none"/>
        </w:rPr>
        <w:t>Equipment Qualification:</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Plan for IQ/OQ/PQ of all critical equipment (freeze dryers, etc.) prior to process validation.</w:t>
      </w:r>
      <w:r w:rsidRPr="003C68BB">
        <w:rPr>
          <w:rFonts w:ascii="Aptos" w:eastAsia="Aptos" w:hAnsi="Aptos" w:cs="Times New Roman"/>
          <w:kern w:val="0"/>
          <w14:ligatures w14:val="none"/>
        </w:rPr>
        <w:t xml:space="preserve"> (Internal QA protocol GH-QA-001).</w:t>
      </w:r>
    </w:p>
    <w:p w14:paraId="3D52C671"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[33] EudraLex Vol. 4 – </w:t>
      </w:r>
      <w:r w:rsidRPr="003C68BB">
        <w:rPr>
          <w:rFonts w:ascii="Aptos" w:eastAsia="Aptos" w:hAnsi="Aptos" w:cs="Times New Roman"/>
          <w:i/>
          <w:iCs/>
          <w:kern w:val="0"/>
          <w14:ligatures w14:val="none"/>
        </w:rPr>
        <w:t>GMP Inspections:</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AEMPS/EMA inspectors will verify production records, training, calibration, etc., during pre-approval inspection.</w:t>
      </w:r>
      <w:r w:rsidRPr="003C68BB">
        <w:rPr>
          <w:rFonts w:ascii="Aptos" w:eastAsia="Aptos" w:hAnsi="Aptos" w:cs="Times New Roman"/>
          <w:kern w:val="0"/>
          <w14:ligatures w14:val="none"/>
        </w:rPr>
        <w:t xml:space="preserve"> (EU GMP Guidelines, Chapter 5: Production, and Chapter 8: Complaints &amp; Recalls).</w:t>
      </w:r>
    </w:p>
    <w:p w14:paraId="2B93B2FF"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[34] EMA Inspection Guide (2019) – </w:t>
      </w:r>
      <w:r w:rsidRPr="003C68BB">
        <w:rPr>
          <w:rFonts w:ascii="Aptos" w:eastAsia="Aptos" w:hAnsi="Aptos" w:cs="Times New Roman"/>
          <w:i/>
          <w:iCs/>
          <w:kern w:val="0"/>
          <w14:ligatures w14:val="none"/>
        </w:rPr>
        <w:t>Pre-Approval Audit Focus:</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Inspectors examine facilities, equipment logs, QC data, and compliance with MA dossier commitments.</w:t>
      </w:r>
      <w:r w:rsidRPr="003C68BB">
        <w:rPr>
          <w:rFonts w:ascii="Aptos" w:eastAsia="Aptos" w:hAnsi="Aptos" w:cs="Times New Roman"/>
          <w:kern w:val="0"/>
          <w14:ligatures w14:val="none"/>
        </w:rPr>
        <w:t xml:space="preserve"> (EMA Pre-Approval Inspection Guidance)</w:t>
      </w:r>
      <w:hyperlink r:id="rId10" w:anchor=":~:text=%28EMA%29">
        <w:r w:rsidRPr="003C68BB">
          <w:rPr>
            <w:rFonts w:ascii="Aptos" w:eastAsia="Aptos" w:hAnsi="Aptos" w:cs="Times New Roman"/>
            <w:color w:val="156082"/>
            <w:kern w:val="0"/>
            <w14:ligatures w14:val="none"/>
          </w:rPr>
          <w:t>[8]</w:t>
        </w:r>
      </w:hyperlink>
      <w:r w:rsidRPr="003C68BB">
        <w:rPr>
          <w:rFonts w:ascii="Aptos" w:eastAsia="Aptos" w:hAnsi="Aptos" w:cs="Times New Roman"/>
          <w:kern w:val="0"/>
          <w14:ligatures w14:val="none"/>
        </w:rPr>
        <w:t>.</w:t>
      </w:r>
    </w:p>
    <w:p w14:paraId="5C46A139"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[35] </w:t>
      </w:r>
      <w:proofErr w:type="spellStart"/>
      <w:r w:rsidRPr="003C68BB">
        <w:rPr>
          <w:rFonts w:ascii="Aptos" w:eastAsia="Aptos" w:hAnsi="Aptos" w:cs="Times New Roman"/>
          <w:kern w:val="0"/>
          <w14:ligatures w14:val="none"/>
        </w:rPr>
        <w:t>Valtria</w:t>
      </w:r>
      <w:proofErr w:type="spellEnd"/>
      <w:r w:rsidRPr="003C68BB">
        <w:rPr>
          <w:rFonts w:ascii="Aptos" w:eastAsia="Aptos" w:hAnsi="Aptos" w:cs="Times New Roman"/>
          <w:kern w:val="0"/>
          <w14:ligatures w14:val="none"/>
        </w:rPr>
        <w:t xml:space="preserve"> Contract Quote (2024) – </w:t>
      </w:r>
      <w:r w:rsidRPr="003C68BB">
        <w:rPr>
          <w:rFonts w:ascii="Aptos" w:eastAsia="Aptos" w:hAnsi="Aptos" w:cs="Times New Roman"/>
          <w:i/>
          <w:iCs/>
          <w:kern w:val="0"/>
          <w14:ligatures w14:val="none"/>
        </w:rPr>
        <w:t>HVAC &amp; Cleanroom Turnkey Cost:</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Fixed-price contract covering design, supply, installation of cleanrooms and climate systems for ~€600k.</w:t>
      </w:r>
      <w:r w:rsidRPr="003C68BB">
        <w:rPr>
          <w:rFonts w:ascii="Aptos" w:eastAsia="Aptos" w:hAnsi="Aptos" w:cs="Times New Roman"/>
          <w:kern w:val="0"/>
          <w14:ligatures w14:val="none"/>
        </w:rPr>
        <w:t xml:space="preserve"> (Project Offer #VAL-2024-07, </w:t>
      </w:r>
      <w:proofErr w:type="spellStart"/>
      <w:r w:rsidRPr="003C68BB">
        <w:rPr>
          <w:rFonts w:ascii="Aptos" w:eastAsia="Aptos" w:hAnsi="Aptos" w:cs="Times New Roman"/>
          <w:kern w:val="0"/>
          <w14:ligatures w14:val="none"/>
        </w:rPr>
        <w:t>Valtria</w:t>
      </w:r>
      <w:proofErr w:type="spellEnd"/>
      <w:r w:rsidRPr="003C68BB">
        <w:rPr>
          <w:rFonts w:ascii="Aptos" w:eastAsia="Aptos" w:hAnsi="Aptos" w:cs="Times New Roman"/>
          <w:kern w:val="0"/>
          <w14:ligatures w14:val="none"/>
        </w:rPr>
        <w:t>).</w:t>
      </w:r>
    </w:p>
    <w:p w14:paraId="1CA3F794"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[36] Comparable Project Benchmark – </w:t>
      </w:r>
      <w:r w:rsidRPr="003C68BB">
        <w:rPr>
          <w:rFonts w:ascii="Aptos" w:eastAsia="Aptos" w:hAnsi="Aptos" w:cs="Times New Roman"/>
          <w:i/>
          <w:iCs/>
          <w:kern w:val="0"/>
          <w14:ligatures w14:val="none"/>
        </w:rPr>
        <w:t>HVAC/Cleanroom costs:</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Similar EU-GMP cultivation facility (2023) reported ~€580k HVAC spend.</w:t>
      </w:r>
      <w:r w:rsidRPr="003C68BB">
        <w:rPr>
          <w:rFonts w:ascii="Aptos" w:eastAsia="Aptos" w:hAnsi="Aptos" w:cs="Times New Roman"/>
          <w:kern w:val="0"/>
          <w14:ligatures w14:val="none"/>
        </w:rPr>
        <w:t xml:space="preserve"> (Internal benchmark provided by investor).</w:t>
      </w:r>
    </w:p>
    <w:p w14:paraId="595DA382"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[37] Equipment Vendor Catalog – </w:t>
      </w:r>
      <w:r w:rsidRPr="003C68BB">
        <w:rPr>
          <w:rFonts w:ascii="Aptos" w:eastAsia="Aptos" w:hAnsi="Aptos" w:cs="Times New Roman"/>
          <w:i/>
          <w:iCs/>
          <w:kern w:val="0"/>
          <w14:ligatures w14:val="none"/>
        </w:rPr>
        <w:t>Freeze Dryer Unit:</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 xml:space="preserve">Cuddon 120kg-capacity freeze dryers priced at ~€180k each (2 units planned). </w:t>
      </w:r>
      <w:proofErr w:type="gramStart"/>
      <w:r w:rsidRPr="003C68BB">
        <w:rPr>
          <w:rFonts w:ascii="Aptos" w:eastAsia="Aptos" w:hAnsi="Aptos" w:cs="Times New Roman"/>
          <w:i/>
          <w:iCs/>
          <w:kern w:val="0"/>
          <w14:ligatures w14:val="none"/>
        </w:rPr>
        <w:t>Comes</w:t>
      </w:r>
      <w:proofErr w:type="gramEnd"/>
      <w:r w:rsidRPr="003C68BB">
        <w:rPr>
          <w:rFonts w:ascii="Aptos" w:eastAsia="Aptos" w:hAnsi="Aptos" w:cs="Times New Roman"/>
          <w:i/>
          <w:iCs/>
          <w:kern w:val="0"/>
          <w14:ligatures w14:val="none"/>
        </w:rPr>
        <w:t xml:space="preserve"> with validation package.</w:t>
      </w:r>
      <w:r w:rsidRPr="003C68BB">
        <w:rPr>
          <w:rFonts w:ascii="Aptos" w:eastAsia="Aptos" w:hAnsi="Aptos" w:cs="Times New Roman"/>
          <w:kern w:val="0"/>
          <w14:ligatures w14:val="none"/>
        </w:rPr>
        <w:t xml:space="preserve"> (Cuddon Industrial FD spec sheet, 2024).</w:t>
      </w:r>
    </w:p>
    <w:p w14:paraId="78569BA6"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[38] Vendor Quote – </w:t>
      </w:r>
      <w:r w:rsidRPr="003C68BB">
        <w:rPr>
          <w:rFonts w:ascii="Aptos" w:eastAsia="Aptos" w:hAnsi="Aptos" w:cs="Times New Roman"/>
          <w:i/>
          <w:iCs/>
          <w:kern w:val="0"/>
          <w14:ligatures w14:val="none"/>
        </w:rPr>
        <w:t>Rosin Press:</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Trichome Dynamics 20-ton rosin press, €25k, modular expansion possible.</w:t>
      </w:r>
      <w:r w:rsidRPr="003C68BB">
        <w:rPr>
          <w:rFonts w:ascii="Aptos" w:eastAsia="Aptos" w:hAnsi="Aptos" w:cs="Times New Roman"/>
          <w:kern w:val="0"/>
          <w14:ligatures w14:val="none"/>
        </w:rPr>
        <w:t xml:space="preserve"> (Supplier: Trichome Dynamics, Quotation #TD-2025-03).</w:t>
      </w:r>
    </w:p>
    <w:p w14:paraId="2D9E1EF3"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[39] Agilent Technologies – </w:t>
      </w:r>
      <w:r w:rsidRPr="003C68BB">
        <w:rPr>
          <w:rFonts w:ascii="Aptos" w:eastAsia="Aptos" w:hAnsi="Aptos" w:cs="Times New Roman"/>
          <w:i/>
          <w:iCs/>
          <w:kern w:val="0"/>
          <w14:ligatures w14:val="none"/>
        </w:rPr>
        <w:t>HPLC/GC Package:</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Analytical lab setup (HPLC-UV, GC-FID, consumables) ~€120k.</w:t>
      </w:r>
      <w:r w:rsidRPr="003C68BB">
        <w:rPr>
          <w:rFonts w:ascii="Aptos" w:eastAsia="Aptos" w:hAnsi="Aptos" w:cs="Times New Roman"/>
          <w:kern w:val="0"/>
          <w14:ligatures w14:val="none"/>
        </w:rPr>
        <w:t xml:space="preserve"> (Agilent Quote, Mar 2025).</w:t>
      </w:r>
    </w:p>
    <w:p w14:paraId="26161CA2"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[40] Fisher Scientific – </w:t>
      </w:r>
      <w:r w:rsidRPr="003C68BB">
        <w:rPr>
          <w:rFonts w:ascii="Aptos" w:eastAsia="Aptos" w:hAnsi="Aptos" w:cs="Times New Roman"/>
          <w:i/>
          <w:iCs/>
          <w:kern w:val="0"/>
          <w14:ligatures w14:val="none"/>
        </w:rPr>
        <w:t>QC Lab Equipment:</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Microbiological incubator, analytical balance, etc., ~€30k.</w:t>
      </w:r>
      <w:r w:rsidRPr="003C68BB">
        <w:rPr>
          <w:rFonts w:ascii="Aptos" w:eastAsia="Aptos" w:hAnsi="Aptos" w:cs="Times New Roman"/>
          <w:kern w:val="0"/>
          <w14:ligatures w14:val="none"/>
        </w:rPr>
        <w:t xml:space="preserve"> (Catalog pricing 2025).</w:t>
      </w:r>
    </w:p>
    <w:p w14:paraId="395529DA"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lastRenderedPageBreak/>
        <w:t xml:space="preserve">[41] </w:t>
      </w:r>
      <w:proofErr w:type="spellStart"/>
      <w:r w:rsidRPr="003C68BB">
        <w:rPr>
          <w:rFonts w:ascii="Aptos" w:eastAsia="Aptos" w:hAnsi="Aptos" w:cs="Times New Roman"/>
          <w:kern w:val="0"/>
          <w14:ligatures w14:val="none"/>
        </w:rPr>
        <w:t>Valtria</w:t>
      </w:r>
      <w:proofErr w:type="spellEnd"/>
      <w:r w:rsidRPr="003C68BB">
        <w:rPr>
          <w:rFonts w:ascii="Aptos" w:eastAsia="Aptos" w:hAnsi="Aptos" w:cs="Times New Roman"/>
          <w:kern w:val="0"/>
          <w14:ligatures w14:val="none"/>
        </w:rPr>
        <w:t xml:space="preserve"> Agreement – </w:t>
      </w:r>
      <w:r w:rsidRPr="003C68BB">
        <w:rPr>
          <w:rFonts w:ascii="Aptos" w:eastAsia="Aptos" w:hAnsi="Aptos" w:cs="Times New Roman"/>
          <w:i/>
          <w:iCs/>
          <w:kern w:val="0"/>
          <w14:ligatures w14:val="none"/>
        </w:rPr>
        <w:t>Engineering Services:</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Design &amp; project management fees €100k (included in CAPEX).</w:t>
      </w:r>
      <w:r w:rsidRPr="003C68BB">
        <w:rPr>
          <w:rFonts w:ascii="Aptos" w:eastAsia="Aptos" w:hAnsi="Aptos" w:cs="Times New Roman"/>
          <w:kern w:val="0"/>
          <w14:ligatures w14:val="none"/>
        </w:rPr>
        <w:t xml:space="preserve"> (</w:t>
      </w:r>
      <w:proofErr w:type="spellStart"/>
      <w:r w:rsidRPr="003C68BB">
        <w:rPr>
          <w:rFonts w:ascii="Aptos" w:eastAsia="Aptos" w:hAnsi="Aptos" w:cs="Times New Roman"/>
          <w:kern w:val="0"/>
          <w14:ligatures w14:val="none"/>
        </w:rPr>
        <w:t>Valtria</w:t>
      </w:r>
      <w:proofErr w:type="spellEnd"/>
      <w:r w:rsidRPr="003C68BB">
        <w:rPr>
          <w:rFonts w:ascii="Aptos" w:eastAsia="Aptos" w:hAnsi="Aptos" w:cs="Times New Roman"/>
          <w:kern w:val="0"/>
          <w14:ligatures w14:val="none"/>
        </w:rPr>
        <w:t xml:space="preserve"> Service Contract, 2024).</w:t>
      </w:r>
    </w:p>
    <w:p w14:paraId="1333501D"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[42] Qualipharma Contract – </w:t>
      </w:r>
      <w:r w:rsidRPr="003C68BB">
        <w:rPr>
          <w:rFonts w:ascii="Aptos" w:eastAsia="Aptos" w:hAnsi="Aptos" w:cs="Times New Roman"/>
          <w:i/>
          <w:iCs/>
          <w:kern w:val="0"/>
          <w14:ligatures w14:val="none"/>
        </w:rPr>
        <w:t>Regulatory Consulting:</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Licensing and GMP compliance support package €50k.</w:t>
      </w:r>
      <w:r w:rsidRPr="003C68BB">
        <w:rPr>
          <w:rFonts w:ascii="Aptos" w:eastAsia="Aptos" w:hAnsi="Aptos" w:cs="Times New Roman"/>
          <w:kern w:val="0"/>
          <w14:ligatures w14:val="none"/>
        </w:rPr>
        <w:t xml:space="preserve"> (Qualipharma Proposal, 2024).</w:t>
      </w:r>
    </w:p>
    <w:p w14:paraId="329519B0"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[43] Green Hill SHA 2024 – </w:t>
      </w:r>
      <w:r w:rsidRPr="003C68BB">
        <w:rPr>
          <w:rFonts w:ascii="Aptos" w:eastAsia="Aptos" w:hAnsi="Aptos" w:cs="Times New Roman"/>
          <w:i/>
          <w:iCs/>
          <w:kern w:val="0"/>
          <w14:ligatures w14:val="none"/>
        </w:rPr>
        <w:t>Liquidation Preference:</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 xml:space="preserve">Investors’ PPL + interest is returned first upon exit (equivalent to 1x liquidation </w:t>
      </w:r>
      <w:proofErr w:type="spellStart"/>
      <w:r w:rsidRPr="003C68BB">
        <w:rPr>
          <w:rFonts w:ascii="Aptos" w:eastAsia="Aptos" w:hAnsi="Aptos" w:cs="Times New Roman"/>
          <w:i/>
          <w:iCs/>
          <w:kern w:val="0"/>
          <w14:ligatures w14:val="none"/>
        </w:rPr>
        <w:t>pref</w:t>
      </w:r>
      <w:proofErr w:type="spellEnd"/>
      <w:r w:rsidRPr="003C68BB">
        <w:rPr>
          <w:rFonts w:ascii="Aptos" w:eastAsia="Aptos" w:hAnsi="Aptos" w:cs="Times New Roman"/>
          <w:i/>
          <w:iCs/>
          <w:kern w:val="0"/>
          <w14:ligatures w14:val="none"/>
        </w:rPr>
        <w:t xml:space="preserve"> with accrued coupon).</w:t>
      </w:r>
      <w:r w:rsidRPr="003C68BB">
        <w:rPr>
          <w:rFonts w:ascii="Aptos" w:eastAsia="Aptos" w:hAnsi="Aptos" w:cs="Times New Roman"/>
          <w:kern w:val="0"/>
          <w14:ligatures w14:val="none"/>
        </w:rPr>
        <w:t xml:space="preserve"> (SHA Section 7.2).</w:t>
      </w:r>
    </w:p>
    <w:p w14:paraId="1D0754C6"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[44] Green Hill SHA 2024 – </w:t>
      </w:r>
      <w:r w:rsidRPr="003C68BB">
        <w:rPr>
          <w:rFonts w:ascii="Aptos" w:eastAsia="Aptos" w:hAnsi="Aptos" w:cs="Times New Roman"/>
          <w:i/>
          <w:iCs/>
          <w:kern w:val="0"/>
          <w14:ligatures w14:val="none"/>
        </w:rPr>
        <w:t>Waterfall Distribution:</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 xml:space="preserve">After PPL </w:t>
      </w:r>
      <w:proofErr w:type="spellStart"/>
      <w:r w:rsidRPr="003C68BB">
        <w:rPr>
          <w:rFonts w:ascii="Aptos" w:eastAsia="Aptos" w:hAnsi="Aptos" w:cs="Times New Roman"/>
          <w:i/>
          <w:iCs/>
          <w:kern w:val="0"/>
          <w14:ligatures w14:val="none"/>
        </w:rPr>
        <w:t>principal+interest</w:t>
      </w:r>
      <w:proofErr w:type="spellEnd"/>
      <w:r w:rsidRPr="003C68BB">
        <w:rPr>
          <w:rFonts w:ascii="Aptos" w:eastAsia="Aptos" w:hAnsi="Aptos" w:cs="Times New Roman"/>
          <w:i/>
          <w:iCs/>
          <w:kern w:val="0"/>
          <w14:ligatures w14:val="none"/>
        </w:rPr>
        <w:t>, remaining proceeds split by equity %. Mirrors typical VC preferred stock payout structure.</w:t>
      </w:r>
      <w:r w:rsidRPr="003C68BB">
        <w:rPr>
          <w:rFonts w:ascii="Aptos" w:eastAsia="Aptos" w:hAnsi="Aptos" w:cs="Times New Roman"/>
          <w:kern w:val="0"/>
          <w14:ligatures w14:val="none"/>
        </w:rPr>
        <w:t xml:space="preserve"> (SHA Schedule 3).</w:t>
      </w:r>
    </w:p>
    <w:p w14:paraId="3D4BEF9F"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[45] Spanish Corporate Law (LSC) – </w:t>
      </w:r>
      <w:r w:rsidRPr="003C68BB">
        <w:rPr>
          <w:rFonts w:ascii="Aptos" w:eastAsia="Aptos" w:hAnsi="Aptos" w:cs="Times New Roman"/>
          <w:i/>
          <w:iCs/>
          <w:kern w:val="0"/>
          <w14:ligatures w14:val="none"/>
        </w:rPr>
        <w:t>Majority Requirements:</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Art. 199: For S.L., bylaws may require up to 2/3 majority for significant decisions.</w:t>
      </w:r>
      <w:r w:rsidRPr="003C68BB">
        <w:rPr>
          <w:rFonts w:ascii="Aptos" w:eastAsia="Aptos" w:hAnsi="Aptos" w:cs="Times New Roman"/>
          <w:kern w:val="0"/>
          <w14:ligatures w14:val="none"/>
        </w:rPr>
        <w:t xml:space="preserve"> (Ley de </w:t>
      </w:r>
      <w:proofErr w:type="spellStart"/>
      <w:r w:rsidRPr="003C68BB">
        <w:rPr>
          <w:rFonts w:ascii="Aptos" w:eastAsia="Aptos" w:hAnsi="Aptos" w:cs="Times New Roman"/>
          <w:kern w:val="0"/>
          <w14:ligatures w14:val="none"/>
        </w:rPr>
        <w:t>Sociedades</w:t>
      </w:r>
      <w:proofErr w:type="spellEnd"/>
      <w:r w:rsidRPr="003C68BB">
        <w:rPr>
          <w:rFonts w:ascii="Aptos" w:eastAsia="Aptos" w:hAnsi="Aptos" w:cs="Times New Roman"/>
          <w:kern w:val="0"/>
          <w14:ligatures w14:val="none"/>
        </w:rPr>
        <w:t xml:space="preserve"> de Capital, </w:t>
      </w:r>
      <w:proofErr w:type="spellStart"/>
      <w:r w:rsidRPr="003C68BB">
        <w:rPr>
          <w:rFonts w:ascii="Aptos" w:eastAsia="Aptos" w:hAnsi="Aptos" w:cs="Times New Roman"/>
          <w:kern w:val="0"/>
          <w14:ligatures w14:val="none"/>
        </w:rPr>
        <w:t>Artículo</w:t>
      </w:r>
      <w:proofErr w:type="spellEnd"/>
      <w:r w:rsidRPr="003C68BB">
        <w:rPr>
          <w:rFonts w:ascii="Aptos" w:eastAsia="Aptos" w:hAnsi="Aptos" w:cs="Times New Roman"/>
          <w:kern w:val="0"/>
          <w14:ligatures w14:val="none"/>
        </w:rPr>
        <w:t xml:space="preserve"> 199).</w:t>
      </w:r>
    </w:p>
    <w:p w14:paraId="25346960"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[46] Green Hill SHA 2024 – </w:t>
      </w:r>
      <w:r w:rsidRPr="003C68BB">
        <w:rPr>
          <w:rFonts w:ascii="Aptos" w:eastAsia="Aptos" w:hAnsi="Aptos" w:cs="Times New Roman"/>
          <w:i/>
          <w:iCs/>
          <w:kern w:val="0"/>
          <w14:ligatures w14:val="none"/>
        </w:rPr>
        <w:t>Pre-Emption Rights:</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Investors have rights to maintain their pro-rata in any new issuance, including via debt conversion.</w:t>
      </w:r>
      <w:r w:rsidRPr="003C68BB">
        <w:rPr>
          <w:rFonts w:ascii="Aptos" w:eastAsia="Aptos" w:hAnsi="Aptos" w:cs="Times New Roman"/>
          <w:kern w:val="0"/>
          <w14:ligatures w14:val="none"/>
        </w:rPr>
        <w:t xml:space="preserve"> (SHA Section 6).</w:t>
      </w:r>
    </w:p>
    <w:p w14:paraId="66BB4DB5"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[47] Green Hill SHA 2024 – </w:t>
      </w:r>
      <w:r w:rsidRPr="003C68BB">
        <w:rPr>
          <w:rFonts w:ascii="Aptos" w:eastAsia="Aptos" w:hAnsi="Aptos" w:cs="Times New Roman"/>
          <w:i/>
          <w:iCs/>
          <w:kern w:val="0"/>
          <w14:ligatures w14:val="none"/>
        </w:rPr>
        <w:t>Anti-Dilution/Option to Contribute:</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Existing shareholders can contribute additional capital to prevent dilution if new funding is needed.</w:t>
      </w:r>
      <w:r w:rsidRPr="003C68BB">
        <w:rPr>
          <w:rFonts w:ascii="Aptos" w:eastAsia="Aptos" w:hAnsi="Aptos" w:cs="Times New Roman"/>
          <w:kern w:val="0"/>
          <w14:ligatures w14:val="none"/>
        </w:rPr>
        <w:t xml:space="preserve"> (SHA Section 6.4).</w:t>
      </w:r>
    </w:p>
    <w:p w14:paraId="3AA0FDAF"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[48] Green Hill SHA 2024 – </w:t>
      </w:r>
      <w:r w:rsidRPr="003C68BB">
        <w:rPr>
          <w:rFonts w:ascii="Aptos" w:eastAsia="Aptos" w:hAnsi="Aptos" w:cs="Times New Roman"/>
          <w:i/>
          <w:iCs/>
          <w:kern w:val="0"/>
          <w14:ligatures w14:val="none"/>
        </w:rPr>
        <w:t>Lock-up Period:</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No share transfers without consent during first 3 years.</w:t>
      </w:r>
      <w:r w:rsidRPr="003C68BB">
        <w:rPr>
          <w:rFonts w:ascii="Aptos" w:eastAsia="Aptos" w:hAnsi="Aptos" w:cs="Times New Roman"/>
          <w:kern w:val="0"/>
          <w14:ligatures w14:val="none"/>
        </w:rPr>
        <w:t xml:space="preserve"> (SHA Section 8.1).</w:t>
      </w:r>
    </w:p>
    <w:p w14:paraId="4D30EFC0"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[49] Green Hill SHA 2024 – </w:t>
      </w:r>
      <w:r w:rsidRPr="003C68BB">
        <w:rPr>
          <w:rFonts w:ascii="Aptos" w:eastAsia="Aptos" w:hAnsi="Aptos" w:cs="Times New Roman"/>
          <w:i/>
          <w:iCs/>
          <w:kern w:val="0"/>
          <w14:ligatures w14:val="none"/>
        </w:rPr>
        <w:t>Permitted Transfers:</w:t>
      </w:r>
      <w:r w:rsidRPr="003C68BB">
        <w:rPr>
          <w:rFonts w:ascii="Aptos" w:eastAsia="Aptos" w:hAnsi="Aptos" w:cs="Times New Roman"/>
          <w:kern w:val="0"/>
          <w14:ligatures w14:val="none"/>
        </w:rPr>
        <w:t xml:space="preserve"> </w:t>
      </w:r>
      <w:r w:rsidRPr="003C68BB">
        <w:rPr>
          <w:rFonts w:ascii="Aptos" w:eastAsia="Aptos" w:hAnsi="Aptos" w:cs="Times New Roman"/>
          <w:i/>
          <w:iCs/>
          <w:kern w:val="0"/>
          <w14:ligatures w14:val="none"/>
        </w:rPr>
        <w:t>Any new shareholder must adhere to SHA and PPL terms (Deed of Adherence required).</w:t>
      </w:r>
      <w:r w:rsidRPr="003C68BB">
        <w:rPr>
          <w:rFonts w:ascii="Aptos" w:eastAsia="Aptos" w:hAnsi="Aptos" w:cs="Times New Roman"/>
          <w:kern w:val="0"/>
          <w14:ligatures w14:val="none"/>
        </w:rPr>
        <w:t xml:space="preserve"> (SHA Section 8.3).</w:t>
      </w:r>
    </w:p>
    <w:p w14:paraId="696A7609"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[50] Green Hill Canarias – </w:t>
      </w:r>
      <w:r w:rsidRPr="003C68BB">
        <w:rPr>
          <w:rFonts w:ascii="Aptos" w:eastAsia="Aptos" w:hAnsi="Aptos" w:cs="Times New Roman"/>
          <w:i/>
          <w:iCs/>
          <w:kern w:val="0"/>
          <w14:ligatures w14:val="none"/>
        </w:rPr>
        <w:t>Financial Model (2025)</w:t>
      </w:r>
      <w:r w:rsidRPr="003C68BB">
        <w:rPr>
          <w:rFonts w:ascii="Aptos" w:eastAsia="Aptos" w:hAnsi="Aptos" w:cs="Times New Roman"/>
          <w:kern w:val="0"/>
          <w14:ligatures w14:val="none"/>
        </w:rPr>
        <w:t>: Detailed projections of P&amp;L, balance sheet, cash flow available in Annex; confirms viability under various scenarios.</w:t>
      </w:r>
    </w:p>
    <w:p w14:paraId="343F1694" w14:textId="77777777" w:rsidR="003C68BB" w:rsidRPr="003C68BB" w:rsidRDefault="003C68BB" w:rsidP="003C68BB">
      <w:pPr>
        <w:spacing w:before="180" w:after="180" w:line="240" w:lineRule="auto"/>
        <w:rPr>
          <w:rFonts w:ascii="Aptos" w:eastAsia="Aptos" w:hAnsi="Aptos" w:cs="Times New Roman"/>
          <w:kern w:val="0"/>
          <w14:ligatures w14:val="none"/>
        </w:rPr>
      </w:pPr>
      <w:r w:rsidRPr="003C68BB">
        <w:rPr>
          <w:rFonts w:ascii="Aptos" w:eastAsia="Aptos" w:hAnsi="Aptos" w:cs="Times New Roman"/>
          <w:kern w:val="0"/>
          <w14:ligatures w14:val="none"/>
        </w:rPr>
        <w:t xml:space="preserve">[51] Green Hill Canarias – </w:t>
      </w:r>
      <w:r w:rsidRPr="003C68BB">
        <w:rPr>
          <w:rFonts w:ascii="Aptos" w:eastAsia="Aptos" w:hAnsi="Aptos" w:cs="Times New Roman"/>
          <w:i/>
          <w:iCs/>
          <w:kern w:val="0"/>
          <w14:ligatures w14:val="none"/>
        </w:rPr>
        <w:t>Phase II Expansion Plan:</w:t>
      </w:r>
      <w:r w:rsidRPr="003C68BB">
        <w:rPr>
          <w:rFonts w:ascii="Aptos" w:eastAsia="Aptos" w:hAnsi="Aptos" w:cs="Times New Roman"/>
          <w:kern w:val="0"/>
          <w14:ligatures w14:val="none"/>
        </w:rPr>
        <w:t xml:space="preserve"> Outline for potential capacity doubling in 2029+ if market conditions warrant (not included in base case, but strategic optionality maintained).</w:t>
      </w:r>
    </w:p>
    <w:p w14:paraId="73520766" w14:textId="77777777" w:rsidR="003C68BB" w:rsidRPr="003C68BB" w:rsidRDefault="003C68BB" w:rsidP="003C68BB">
      <w:pPr>
        <w:spacing w:after="200" w:line="240" w:lineRule="auto"/>
        <w:rPr>
          <w:rFonts w:ascii="Aptos" w:eastAsia="Aptos" w:hAnsi="Aptos" w:cs="Times New Roman"/>
          <w:kern w:val="0"/>
          <w:lang w:val="es"/>
          <w14:ligatures w14:val="none"/>
        </w:rPr>
      </w:pPr>
      <w:r w:rsidRPr="003C68BB">
        <w:rPr>
          <w:rFonts w:ascii="Aptos" w:eastAsia="Aptos" w:hAnsi="Aptos" w:cs="Times New Roman"/>
          <w:kern w:val="0"/>
          <w:lang w:val="es"/>
          <w14:ligatures w14:val="none"/>
        </w:rPr>
        <w:pict w14:anchorId="763B7189">
          <v:rect id="_x0000_i1037" style="width:0;height:1.5pt" o:hralign="center" o:hrstd="t" o:hr="t"/>
        </w:pict>
      </w:r>
    </w:p>
    <w:p w14:paraId="2CF2D9E1" w14:textId="77777777" w:rsidR="003C68BB" w:rsidRPr="003C68BB" w:rsidRDefault="003C68BB" w:rsidP="003C68BB">
      <w:pPr>
        <w:spacing w:before="180" w:after="180" w:line="240" w:lineRule="auto"/>
        <w:rPr>
          <w:rFonts w:ascii="Aptos" w:eastAsia="Aptos" w:hAnsi="Aptos" w:cs="Times New Roman"/>
          <w:kern w:val="0"/>
          <w14:ligatures w14:val="none"/>
        </w:rPr>
      </w:pPr>
      <w:hyperlink r:id="rId11" w:anchor=":~:text=The%20drying%20method%20most%20growers,as%20little%20as%2048%20hours">
        <w:r w:rsidRPr="003C68BB">
          <w:rPr>
            <w:rFonts w:ascii="Aptos" w:eastAsia="Aptos" w:hAnsi="Aptos" w:cs="Times New Roman"/>
            <w:color w:val="156082"/>
            <w:kern w:val="0"/>
            <w14:ligatures w14:val="none"/>
          </w:rPr>
          <w:t>[1]</w:t>
        </w:r>
      </w:hyperlink>
      <w:r w:rsidRPr="003C68BB">
        <w:rPr>
          <w:rFonts w:ascii="Aptos" w:eastAsia="Aptos" w:hAnsi="Aptos" w:cs="Times New Roman"/>
          <w:kern w:val="0"/>
          <w14:ligatures w14:val="none"/>
        </w:rPr>
        <w:t xml:space="preserve"> Guide to Freeze Dried Cannabis &amp; Why It's the Future</w:t>
      </w:r>
    </w:p>
    <w:p w14:paraId="7B9D5018" w14:textId="77777777" w:rsidR="003C68BB" w:rsidRPr="003C68BB" w:rsidRDefault="003C68BB" w:rsidP="003C68BB">
      <w:pPr>
        <w:spacing w:before="180" w:after="180" w:line="240" w:lineRule="auto"/>
        <w:rPr>
          <w:rFonts w:ascii="Aptos" w:eastAsia="Aptos" w:hAnsi="Aptos" w:cs="Times New Roman"/>
          <w:kern w:val="0"/>
          <w14:ligatures w14:val="none"/>
        </w:rPr>
      </w:pPr>
      <w:hyperlink r:id="rId12">
        <w:r w:rsidRPr="003C68BB">
          <w:rPr>
            <w:rFonts w:ascii="Aptos" w:eastAsia="Aptos" w:hAnsi="Aptos" w:cs="Times New Roman"/>
            <w:color w:val="156082"/>
            <w:kern w:val="0"/>
            <w14:ligatures w14:val="none"/>
          </w:rPr>
          <w:t>https://www.theoriginalresinator.com/blog/what-is-freeze-dried-cannabis/</w:t>
        </w:r>
      </w:hyperlink>
    </w:p>
    <w:p w14:paraId="5D16B43C" w14:textId="77777777" w:rsidR="003C68BB" w:rsidRPr="003C68BB" w:rsidRDefault="003C68BB" w:rsidP="003C68BB">
      <w:pPr>
        <w:spacing w:before="180" w:after="180" w:line="240" w:lineRule="auto"/>
        <w:rPr>
          <w:rFonts w:ascii="Aptos" w:eastAsia="Aptos" w:hAnsi="Aptos" w:cs="Times New Roman"/>
          <w:kern w:val="0"/>
          <w14:ligatures w14:val="none"/>
        </w:rPr>
      </w:pPr>
      <w:hyperlink r:id="rId13" w:anchor=":~:text=continuity%20of%20patient%20care,hubs%2C%20leveraging%20favorable%20climates%20or">
        <w:r w:rsidRPr="003C68BB">
          <w:rPr>
            <w:rFonts w:ascii="Aptos" w:eastAsia="Aptos" w:hAnsi="Aptos" w:cs="Times New Roman"/>
            <w:color w:val="156082"/>
            <w:kern w:val="0"/>
            <w14:ligatures w14:val="none"/>
          </w:rPr>
          <w:t>[2]</w:t>
        </w:r>
      </w:hyperlink>
      <w:r w:rsidRPr="003C68BB">
        <w:rPr>
          <w:rFonts w:ascii="Aptos" w:eastAsia="Aptos" w:hAnsi="Aptos" w:cs="Times New Roman"/>
          <w:kern w:val="0"/>
          <w14:ligatures w14:val="none"/>
        </w:rPr>
        <w:t xml:space="preserve"> </w:t>
      </w:r>
      <w:hyperlink r:id="rId14" w:anchor=":~:text=AEMPS%20cultivation%2Fmanufacturing%20permit%20by%20August,for%20scheduling%20a%20GMP%20inspection">
        <w:r w:rsidRPr="003C68BB">
          <w:rPr>
            <w:rFonts w:ascii="Aptos" w:eastAsia="Aptos" w:hAnsi="Aptos" w:cs="Times New Roman"/>
            <w:color w:val="156082"/>
            <w:kern w:val="0"/>
            <w14:ligatures w14:val="none"/>
          </w:rPr>
          <w:t>[4]</w:t>
        </w:r>
      </w:hyperlink>
      <w:r w:rsidRPr="003C68BB">
        <w:rPr>
          <w:rFonts w:ascii="Aptos" w:eastAsia="Aptos" w:hAnsi="Aptos" w:cs="Times New Roman"/>
          <w:kern w:val="0"/>
          <w14:ligatures w14:val="none"/>
        </w:rPr>
        <w:t xml:space="preserve"> </w:t>
      </w:r>
      <w:hyperlink r:id="rId15" w:anchor=":~:text=delay%20in%20certification,for%20the%20medical%20cannabis%20market">
        <w:r w:rsidRPr="003C68BB">
          <w:rPr>
            <w:rFonts w:ascii="Aptos" w:eastAsia="Aptos" w:hAnsi="Aptos" w:cs="Times New Roman"/>
            <w:color w:val="156082"/>
            <w:kern w:val="0"/>
            <w14:ligatures w14:val="none"/>
          </w:rPr>
          <w:t>[5]</w:t>
        </w:r>
      </w:hyperlink>
      <w:r w:rsidRPr="003C68BB">
        <w:rPr>
          <w:rFonts w:ascii="Aptos" w:eastAsia="Aptos" w:hAnsi="Aptos" w:cs="Times New Roman"/>
          <w:kern w:val="0"/>
          <w14:ligatures w14:val="none"/>
        </w:rPr>
        <w:t xml:space="preserve"> </w:t>
      </w:r>
      <w:hyperlink r:id="rId16" w:anchor=":~:text=%28EMA%29">
        <w:r w:rsidRPr="003C68BB">
          <w:rPr>
            <w:rFonts w:ascii="Aptos" w:eastAsia="Aptos" w:hAnsi="Aptos" w:cs="Times New Roman"/>
            <w:color w:val="156082"/>
            <w:kern w:val="0"/>
            <w14:ligatures w14:val="none"/>
          </w:rPr>
          <w:t>[8]</w:t>
        </w:r>
      </w:hyperlink>
      <w:r w:rsidRPr="003C68BB">
        <w:rPr>
          <w:rFonts w:ascii="Aptos" w:eastAsia="Aptos" w:hAnsi="Aptos" w:cs="Times New Roman"/>
          <w:kern w:val="0"/>
          <w14:ligatures w14:val="none"/>
        </w:rPr>
        <w:t xml:space="preserve"> Green Hill Canarias – Strategic Business Plan (2025 Update) (5).docx</w:t>
      </w:r>
    </w:p>
    <w:p w14:paraId="4B0D4407" w14:textId="77777777" w:rsidR="003C68BB" w:rsidRPr="003C68BB" w:rsidRDefault="003C68BB" w:rsidP="003C68BB">
      <w:pPr>
        <w:spacing w:before="180" w:after="180" w:line="240" w:lineRule="auto"/>
        <w:rPr>
          <w:rFonts w:ascii="Aptos" w:eastAsia="Aptos" w:hAnsi="Aptos" w:cs="Times New Roman"/>
          <w:kern w:val="0"/>
          <w14:ligatures w14:val="none"/>
        </w:rPr>
      </w:pPr>
      <w:hyperlink r:id="rId17">
        <w:r w:rsidRPr="003C68BB">
          <w:rPr>
            <w:rFonts w:ascii="Aptos" w:eastAsia="Aptos" w:hAnsi="Aptos" w:cs="Times New Roman"/>
            <w:color w:val="156082"/>
            <w:kern w:val="0"/>
            <w14:ligatures w14:val="none"/>
          </w:rPr>
          <w:t>file://file-7Pymp8fsFnhzvKw1KbxaB3</w:t>
        </w:r>
      </w:hyperlink>
    </w:p>
    <w:p w14:paraId="56F79F67" w14:textId="77777777" w:rsidR="003C68BB" w:rsidRPr="003C68BB" w:rsidRDefault="003C68BB" w:rsidP="003C68BB">
      <w:pPr>
        <w:spacing w:before="180" w:after="180" w:line="240" w:lineRule="auto"/>
        <w:rPr>
          <w:rFonts w:ascii="Aptos" w:eastAsia="Aptos" w:hAnsi="Aptos" w:cs="Times New Roman"/>
          <w:kern w:val="0"/>
          <w14:ligatures w14:val="none"/>
        </w:rPr>
      </w:pPr>
      <w:hyperlink r:id="rId18" w:anchor=":~:text=another%20way%20,Tilray%20along%20with%20Dutch%20Bedrocan">
        <w:r w:rsidRPr="003C68BB">
          <w:rPr>
            <w:rFonts w:ascii="Aptos" w:eastAsia="Aptos" w:hAnsi="Aptos" w:cs="Times New Roman"/>
            <w:color w:val="156082"/>
            <w:kern w:val="0"/>
            <w14:ligatures w14:val="none"/>
          </w:rPr>
          <w:t>[3]</w:t>
        </w:r>
      </w:hyperlink>
      <w:r w:rsidRPr="003C68BB">
        <w:rPr>
          <w:rFonts w:ascii="Aptos" w:eastAsia="Aptos" w:hAnsi="Aptos" w:cs="Times New Roman"/>
          <w:kern w:val="0"/>
          <w14:ligatures w14:val="none"/>
        </w:rPr>
        <w:t xml:space="preserve"> Q1 European Cannabis Industry Update Report - Cannabis Industry Journal</w:t>
      </w:r>
    </w:p>
    <w:p w14:paraId="74AB0A9B" w14:textId="77777777" w:rsidR="003C68BB" w:rsidRPr="003C68BB" w:rsidRDefault="003C68BB" w:rsidP="003C68BB">
      <w:pPr>
        <w:spacing w:before="180" w:after="180" w:line="240" w:lineRule="auto"/>
        <w:rPr>
          <w:rFonts w:ascii="Aptos" w:eastAsia="Aptos" w:hAnsi="Aptos" w:cs="Times New Roman"/>
          <w:kern w:val="0"/>
          <w14:ligatures w14:val="none"/>
        </w:rPr>
      </w:pPr>
      <w:hyperlink r:id="rId19">
        <w:r w:rsidRPr="003C68BB">
          <w:rPr>
            <w:rFonts w:ascii="Aptos" w:eastAsia="Aptos" w:hAnsi="Aptos" w:cs="Times New Roman"/>
            <w:color w:val="156082"/>
            <w:kern w:val="0"/>
            <w14:ligatures w14:val="none"/>
          </w:rPr>
          <w:t>https://cannabisindustryjournal.com/news_article/q1-european-cannabis-industry-update-report/</w:t>
        </w:r>
      </w:hyperlink>
    </w:p>
    <w:p w14:paraId="60C2D47E" w14:textId="77777777" w:rsidR="003C68BB" w:rsidRPr="003C68BB" w:rsidRDefault="003C68BB" w:rsidP="003C68BB">
      <w:pPr>
        <w:spacing w:before="180" w:after="180" w:line="240" w:lineRule="auto"/>
        <w:rPr>
          <w:rFonts w:ascii="Aptos" w:eastAsia="Aptos" w:hAnsi="Aptos" w:cs="Times New Roman"/>
          <w:kern w:val="0"/>
          <w14:ligatures w14:val="none"/>
        </w:rPr>
      </w:pPr>
      <w:hyperlink r:id="rId20" w:anchor=":~:text=However%2C%20stemming%20from%20an%20EU,and%20touchable%20for%20Braille%20users">
        <w:r w:rsidRPr="003C68BB">
          <w:rPr>
            <w:rFonts w:ascii="Aptos" w:eastAsia="Aptos" w:hAnsi="Aptos" w:cs="Times New Roman"/>
            <w:color w:val="156082"/>
            <w:kern w:val="0"/>
            <w14:ligatures w14:val="none"/>
          </w:rPr>
          <w:t>[6]</w:t>
        </w:r>
      </w:hyperlink>
      <w:r w:rsidRPr="003C68BB">
        <w:rPr>
          <w:rFonts w:ascii="Aptos" w:eastAsia="Aptos" w:hAnsi="Aptos" w:cs="Times New Roman"/>
          <w:kern w:val="0"/>
          <w14:ligatures w14:val="none"/>
        </w:rPr>
        <w:t xml:space="preserve"> Security and safety at your fingertips, Braille on medicinal products | European Blind Union</w:t>
      </w:r>
    </w:p>
    <w:p w14:paraId="2D5ECD1A" w14:textId="77777777" w:rsidR="003C68BB" w:rsidRPr="003C68BB" w:rsidRDefault="003C68BB" w:rsidP="003C68BB">
      <w:pPr>
        <w:spacing w:before="180" w:after="180" w:line="240" w:lineRule="auto"/>
        <w:rPr>
          <w:rFonts w:ascii="Aptos" w:eastAsia="Aptos" w:hAnsi="Aptos" w:cs="Times New Roman"/>
          <w:kern w:val="0"/>
          <w14:ligatures w14:val="none"/>
        </w:rPr>
      </w:pPr>
      <w:hyperlink r:id="rId21">
        <w:r w:rsidRPr="003C68BB">
          <w:rPr>
            <w:rFonts w:ascii="Aptos" w:eastAsia="Aptos" w:hAnsi="Aptos" w:cs="Times New Roman"/>
            <w:color w:val="156082"/>
            <w:kern w:val="0"/>
            <w14:ligatures w14:val="none"/>
          </w:rPr>
          <w:t>https://www.euroblind.org/newsletter/2022/march/en/security-and-safety-your-fingertips-braille-medicinal-products</w:t>
        </w:r>
      </w:hyperlink>
    </w:p>
    <w:p w14:paraId="28EF246E" w14:textId="77777777" w:rsidR="003C68BB" w:rsidRPr="003C68BB" w:rsidRDefault="003C68BB" w:rsidP="003C68BB">
      <w:pPr>
        <w:spacing w:before="180" w:after="180" w:line="240" w:lineRule="auto"/>
        <w:rPr>
          <w:rFonts w:ascii="Aptos" w:eastAsia="Aptos" w:hAnsi="Aptos" w:cs="Times New Roman"/>
          <w:kern w:val="0"/>
          <w14:ligatures w14:val="none"/>
        </w:rPr>
      </w:pPr>
      <w:hyperlink r:id="rId22" w:anchor=":~:text=Directive%202001%2F83%2FEC%2C%20Article%2063,this%20is%20text%20captured%20within">
        <w:r w:rsidRPr="003C68BB">
          <w:rPr>
            <w:rFonts w:ascii="Aptos" w:eastAsia="Aptos" w:hAnsi="Aptos" w:cs="Times New Roman"/>
            <w:color w:val="156082"/>
            <w:kern w:val="0"/>
            <w14:ligatures w14:val="none"/>
          </w:rPr>
          <w:t>[7]</w:t>
        </w:r>
      </w:hyperlink>
      <w:r w:rsidRPr="003C68BB">
        <w:rPr>
          <w:rFonts w:ascii="Aptos" w:eastAsia="Aptos" w:hAnsi="Aptos" w:cs="Times New Roman"/>
          <w:kern w:val="0"/>
          <w14:ligatures w14:val="none"/>
        </w:rPr>
        <w:t xml:space="preserve"> assets.hpra.ie</w:t>
      </w:r>
    </w:p>
    <w:p w14:paraId="437BD7B1" w14:textId="79555C76" w:rsidR="00A7422A" w:rsidRPr="004F634E" w:rsidRDefault="003C68BB" w:rsidP="003C68BB">
      <w:hyperlink r:id="rId23">
        <w:r w:rsidRPr="003C68BB">
          <w:rPr>
            <w:rFonts w:ascii="Aptos" w:eastAsia="Aptos" w:hAnsi="Aptos" w:cs="Times New Roman"/>
            <w:color w:val="156082"/>
            <w:kern w:val="0"/>
            <w14:ligatures w14:val="none"/>
          </w:rPr>
          <w:t>https://assets.hpra.ie/data/docs/default-source/external-guidance-document/aut-g0034-guide-to-labels-and-leaflets-of-human-medicines-v25.pdf?sfvrsn=181b0802_11</w:t>
        </w:r>
      </w:hyperlink>
    </w:p>
    <w:sectPr w:rsidR="00A7422A" w:rsidRPr="004F634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D249E"/>
    <w:multiLevelType w:val="multilevel"/>
    <w:tmpl w:val="E49E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82944"/>
    <w:multiLevelType w:val="multilevel"/>
    <w:tmpl w:val="987C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A7BFB"/>
    <w:multiLevelType w:val="multilevel"/>
    <w:tmpl w:val="3CFE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F6919"/>
    <w:multiLevelType w:val="multilevel"/>
    <w:tmpl w:val="656A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D5E5A"/>
    <w:multiLevelType w:val="multilevel"/>
    <w:tmpl w:val="FDA4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E39AC"/>
    <w:multiLevelType w:val="multilevel"/>
    <w:tmpl w:val="71FE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F6E70"/>
    <w:multiLevelType w:val="multilevel"/>
    <w:tmpl w:val="FDB8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A49F5"/>
    <w:multiLevelType w:val="multilevel"/>
    <w:tmpl w:val="E9D2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F03E6"/>
    <w:multiLevelType w:val="multilevel"/>
    <w:tmpl w:val="5BBE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50D82"/>
    <w:multiLevelType w:val="multilevel"/>
    <w:tmpl w:val="BB04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01290"/>
    <w:multiLevelType w:val="multilevel"/>
    <w:tmpl w:val="BBBA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47D4B"/>
    <w:multiLevelType w:val="multilevel"/>
    <w:tmpl w:val="0896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04B12"/>
    <w:multiLevelType w:val="multilevel"/>
    <w:tmpl w:val="4C78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3745C"/>
    <w:multiLevelType w:val="multilevel"/>
    <w:tmpl w:val="5B16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C8742F"/>
    <w:multiLevelType w:val="multilevel"/>
    <w:tmpl w:val="1B10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D2C7C"/>
    <w:multiLevelType w:val="multilevel"/>
    <w:tmpl w:val="745C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654F5"/>
    <w:multiLevelType w:val="multilevel"/>
    <w:tmpl w:val="20F2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1C34DF"/>
    <w:multiLevelType w:val="multilevel"/>
    <w:tmpl w:val="F6BC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CB192A"/>
    <w:multiLevelType w:val="multilevel"/>
    <w:tmpl w:val="4234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5C56CC"/>
    <w:multiLevelType w:val="multilevel"/>
    <w:tmpl w:val="0BC0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9F76F1"/>
    <w:multiLevelType w:val="multilevel"/>
    <w:tmpl w:val="74D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431EBE"/>
    <w:multiLevelType w:val="multilevel"/>
    <w:tmpl w:val="4032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8C6909"/>
    <w:multiLevelType w:val="multilevel"/>
    <w:tmpl w:val="8C5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D7140A"/>
    <w:multiLevelType w:val="multilevel"/>
    <w:tmpl w:val="CD68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6C3568"/>
    <w:multiLevelType w:val="multilevel"/>
    <w:tmpl w:val="1AD6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764701"/>
    <w:multiLevelType w:val="multilevel"/>
    <w:tmpl w:val="482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76BDB"/>
    <w:multiLevelType w:val="multilevel"/>
    <w:tmpl w:val="1BD6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81124F"/>
    <w:multiLevelType w:val="multilevel"/>
    <w:tmpl w:val="3820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8A10A2"/>
    <w:multiLevelType w:val="multilevel"/>
    <w:tmpl w:val="B0DE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2F5198"/>
    <w:multiLevelType w:val="multilevel"/>
    <w:tmpl w:val="D61C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D6494F"/>
    <w:multiLevelType w:val="multilevel"/>
    <w:tmpl w:val="3A62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EE1BC5"/>
    <w:multiLevelType w:val="multilevel"/>
    <w:tmpl w:val="F81C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988513">
    <w:abstractNumId w:val="9"/>
  </w:num>
  <w:num w:numId="2" w16cid:durableId="562326819">
    <w:abstractNumId w:val="23"/>
  </w:num>
  <w:num w:numId="3" w16cid:durableId="1257323535">
    <w:abstractNumId w:val="5"/>
  </w:num>
  <w:num w:numId="4" w16cid:durableId="1375957642">
    <w:abstractNumId w:val="13"/>
  </w:num>
  <w:num w:numId="5" w16cid:durableId="1061751160">
    <w:abstractNumId w:val="28"/>
  </w:num>
  <w:num w:numId="6" w16cid:durableId="2079471491">
    <w:abstractNumId w:val="26"/>
  </w:num>
  <w:num w:numId="7" w16cid:durableId="1947805183">
    <w:abstractNumId w:val="22"/>
  </w:num>
  <w:num w:numId="8" w16cid:durableId="124977572">
    <w:abstractNumId w:val="21"/>
  </w:num>
  <w:num w:numId="9" w16cid:durableId="1572496943">
    <w:abstractNumId w:val="7"/>
  </w:num>
  <w:num w:numId="10" w16cid:durableId="992566492">
    <w:abstractNumId w:val="30"/>
  </w:num>
  <w:num w:numId="11" w16cid:durableId="1664502520">
    <w:abstractNumId w:val="11"/>
  </w:num>
  <w:num w:numId="12" w16cid:durableId="518007053">
    <w:abstractNumId w:val="19"/>
  </w:num>
  <w:num w:numId="13" w16cid:durableId="1341590232">
    <w:abstractNumId w:val="2"/>
  </w:num>
  <w:num w:numId="14" w16cid:durableId="2018339704">
    <w:abstractNumId w:val="14"/>
  </w:num>
  <w:num w:numId="15" w16cid:durableId="706413792">
    <w:abstractNumId w:val="10"/>
  </w:num>
  <w:num w:numId="16" w16cid:durableId="88894558">
    <w:abstractNumId w:val="6"/>
  </w:num>
  <w:num w:numId="17" w16cid:durableId="1523326934">
    <w:abstractNumId w:val="8"/>
  </w:num>
  <w:num w:numId="18" w16cid:durableId="329986233">
    <w:abstractNumId w:val="0"/>
  </w:num>
  <w:num w:numId="19" w16cid:durableId="1783842512">
    <w:abstractNumId w:val="29"/>
  </w:num>
  <w:num w:numId="20" w16cid:durableId="2035685924">
    <w:abstractNumId w:val="18"/>
  </w:num>
  <w:num w:numId="21" w16cid:durableId="1738282264">
    <w:abstractNumId w:val="31"/>
  </w:num>
  <w:num w:numId="22" w16cid:durableId="1500998882">
    <w:abstractNumId w:val="27"/>
  </w:num>
  <w:num w:numId="23" w16cid:durableId="1979021277">
    <w:abstractNumId w:val="24"/>
  </w:num>
  <w:num w:numId="24" w16cid:durableId="372581773">
    <w:abstractNumId w:val="4"/>
  </w:num>
  <w:num w:numId="25" w16cid:durableId="2127188692">
    <w:abstractNumId w:val="25"/>
  </w:num>
  <w:num w:numId="26" w16cid:durableId="410271144">
    <w:abstractNumId w:val="16"/>
  </w:num>
  <w:num w:numId="27" w16cid:durableId="1482305647">
    <w:abstractNumId w:val="1"/>
  </w:num>
  <w:num w:numId="28" w16cid:durableId="1428187327">
    <w:abstractNumId w:val="20"/>
  </w:num>
  <w:num w:numId="29" w16cid:durableId="202642553">
    <w:abstractNumId w:val="17"/>
  </w:num>
  <w:num w:numId="30" w16cid:durableId="858546230">
    <w:abstractNumId w:val="3"/>
  </w:num>
  <w:num w:numId="31" w16cid:durableId="315036787">
    <w:abstractNumId w:val="12"/>
  </w:num>
  <w:num w:numId="32" w16cid:durableId="10092856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2A"/>
    <w:rsid w:val="001F6D51"/>
    <w:rsid w:val="00323189"/>
    <w:rsid w:val="003803AE"/>
    <w:rsid w:val="003C68BB"/>
    <w:rsid w:val="004F634E"/>
    <w:rsid w:val="005A4ECE"/>
    <w:rsid w:val="00931658"/>
    <w:rsid w:val="00A7422A"/>
    <w:rsid w:val="00E13368"/>
    <w:rsid w:val="00E61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2303"/>
  <w15:chartTrackingRefBased/>
  <w15:docId w15:val="{1A69BDAF-BB91-408D-9580-EFA05E97C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2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2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2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2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2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2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2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2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2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22A"/>
    <w:rPr>
      <w:rFonts w:eastAsiaTheme="majorEastAsia" w:cstheme="majorBidi"/>
      <w:color w:val="272727" w:themeColor="text1" w:themeTint="D8"/>
    </w:rPr>
  </w:style>
  <w:style w:type="paragraph" w:styleId="Title">
    <w:name w:val="Title"/>
    <w:basedOn w:val="Normal"/>
    <w:next w:val="Normal"/>
    <w:link w:val="TitleChar"/>
    <w:uiPriority w:val="10"/>
    <w:qFormat/>
    <w:rsid w:val="00A74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22A"/>
    <w:pPr>
      <w:spacing w:before="160"/>
      <w:jc w:val="center"/>
    </w:pPr>
    <w:rPr>
      <w:i/>
      <w:iCs/>
      <w:color w:val="404040" w:themeColor="text1" w:themeTint="BF"/>
    </w:rPr>
  </w:style>
  <w:style w:type="character" w:customStyle="1" w:styleId="QuoteChar">
    <w:name w:val="Quote Char"/>
    <w:basedOn w:val="DefaultParagraphFont"/>
    <w:link w:val="Quote"/>
    <w:uiPriority w:val="29"/>
    <w:rsid w:val="00A7422A"/>
    <w:rPr>
      <w:i/>
      <w:iCs/>
      <w:color w:val="404040" w:themeColor="text1" w:themeTint="BF"/>
    </w:rPr>
  </w:style>
  <w:style w:type="paragraph" w:styleId="ListParagraph">
    <w:name w:val="List Paragraph"/>
    <w:basedOn w:val="Normal"/>
    <w:uiPriority w:val="34"/>
    <w:qFormat/>
    <w:rsid w:val="00A7422A"/>
    <w:pPr>
      <w:ind w:left="720"/>
      <w:contextualSpacing/>
    </w:pPr>
  </w:style>
  <w:style w:type="character" w:styleId="IntenseEmphasis">
    <w:name w:val="Intense Emphasis"/>
    <w:basedOn w:val="DefaultParagraphFont"/>
    <w:uiPriority w:val="21"/>
    <w:qFormat/>
    <w:rsid w:val="00A7422A"/>
    <w:rPr>
      <w:i/>
      <w:iCs/>
      <w:color w:val="0F4761" w:themeColor="accent1" w:themeShade="BF"/>
    </w:rPr>
  </w:style>
  <w:style w:type="paragraph" w:styleId="IntenseQuote">
    <w:name w:val="Intense Quote"/>
    <w:basedOn w:val="Normal"/>
    <w:next w:val="Normal"/>
    <w:link w:val="IntenseQuoteChar"/>
    <w:uiPriority w:val="30"/>
    <w:qFormat/>
    <w:rsid w:val="00A74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22A"/>
    <w:rPr>
      <w:i/>
      <w:iCs/>
      <w:color w:val="0F4761" w:themeColor="accent1" w:themeShade="BF"/>
    </w:rPr>
  </w:style>
  <w:style w:type="character" w:styleId="IntenseReference">
    <w:name w:val="Intense Reference"/>
    <w:basedOn w:val="DefaultParagraphFont"/>
    <w:uiPriority w:val="32"/>
    <w:qFormat/>
    <w:rsid w:val="00A742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83596">
      <w:bodyDiv w:val="1"/>
      <w:marLeft w:val="0"/>
      <w:marRight w:val="0"/>
      <w:marTop w:val="0"/>
      <w:marBottom w:val="0"/>
      <w:divBdr>
        <w:top w:val="none" w:sz="0" w:space="0" w:color="auto"/>
        <w:left w:val="none" w:sz="0" w:space="0" w:color="auto"/>
        <w:bottom w:val="none" w:sz="0" w:space="0" w:color="auto"/>
        <w:right w:val="none" w:sz="0" w:space="0" w:color="auto"/>
      </w:divBdr>
      <w:divsChild>
        <w:div w:id="2067869133">
          <w:marLeft w:val="0"/>
          <w:marRight w:val="0"/>
          <w:marTop w:val="0"/>
          <w:marBottom w:val="0"/>
          <w:divBdr>
            <w:top w:val="none" w:sz="0" w:space="0" w:color="auto"/>
            <w:left w:val="none" w:sz="0" w:space="0" w:color="auto"/>
            <w:bottom w:val="none" w:sz="0" w:space="0" w:color="auto"/>
            <w:right w:val="none" w:sz="0" w:space="0" w:color="auto"/>
          </w:divBdr>
        </w:div>
        <w:div w:id="1365401541">
          <w:marLeft w:val="0"/>
          <w:marRight w:val="0"/>
          <w:marTop w:val="0"/>
          <w:marBottom w:val="0"/>
          <w:divBdr>
            <w:top w:val="none" w:sz="0" w:space="0" w:color="auto"/>
            <w:left w:val="none" w:sz="0" w:space="0" w:color="auto"/>
            <w:bottom w:val="none" w:sz="0" w:space="0" w:color="auto"/>
            <w:right w:val="none" w:sz="0" w:space="0" w:color="auto"/>
          </w:divBdr>
        </w:div>
        <w:div w:id="1052656174">
          <w:marLeft w:val="0"/>
          <w:marRight w:val="0"/>
          <w:marTop w:val="0"/>
          <w:marBottom w:val="0"/>
          <w:divBdr>
            <w:top w:val="none" w:sz="0" w:space="0" w:color="auto"/>
            <w:left w:val="none" w:sz="0" w:space="0" w:color="auto"/>
            <w:bottom w:val="none" w:sz="0" w:space="0" w:color="auto"/>
            <w:right w:val="none" w:sz="0" w:space="0" w:color="auto"/>
          </w:divBdr>
        </w:div>
      </w:divsChild>
    </w:div>
    <w:div w:id="337510559">
      <w:bodyDiv w:val="1"/>
      <w:marLeft w:val="0"/>
      <w:marRight w:val="0"/>
      <w:marTop w:val="0"/>
      <w:marBottom w:val="0"/>
      <w:divBdr>
        <w:top w:val="none" w:sz="0" w:space="0" w:color="auto"/>
        <w:left w:val="none" w:sz="0" w:space="0" w:color="auto"/>
        <w:bottom w:val="none" w:sz="0" w:space="0" w:color="auto"/>
        <w:right w:val="none" w:sz="0" w:space="0" w:color="auto"/>
      </w:divBdr>
      <w:divsChild>
        <w:div w:id="2052459727">
          <w:marLeft w:val="0"/>
          <w:marRight w:val="0"/>
          <w:marTop w:val="0"/>
          <w:marBottom w:val="0"/>
          <w:divBdr>
            <w:top w:val="none" w:sz="0" w:space="0" w:color="auto"/>
            <w:left w:val="none" w:sz="0" w:space="0" w:color="auto"/>
            <w:bottom w:val="none" w:sz="0" w:space="0" w:color="auto"/>
            <w:right w:val="none" w:sz="0" w:space="0" w:color="auto"/>
          </w:divBdr>
        </w:div>
        <w:div w:id="1766489723">
          <w:marLeft w:val="0"/>
          <w:marRight w:val="0"/>
          <w:marTop w:val="0"/>
          <w:marBottom w:val="0"/>
          <w:divBdr>
            <w:top w:val="none" w:sz="0" w:space="0" w:color="auto"/>
            <w:left w:val="none" w:sz="0" w:space="0" w:color="auto"/>
            <w:bottom w:val="none" w:sz="0" w:space="0" w:color="auto"/>
            <w:right w:val="none" w:sz="0" w:space="0" w:color="auto"/>
          </w:divBdr>
        </w:div>
        <w:div w:id="1714573925">
          <w:marLeft w:val="0"/>
          <w:marRight w:val="0"/>
          <w:marTop w:val="0"/>
          <w:marBottom w:val="0"/>
          <w:divBdr>
            <w:top w:val="none" w:sz="0" w:space="0" w:color="auto"/>
            <w:left w:val="none" w:sz="0" w:space="0" w:color="auto"/>
            <w:bottom w:val="none" w:sz="0" w:space="0" w:color="auto"/>
            <w:right w:val="none" w:sz="0" w:space="0" w:color="auto"/>
          </w:divBdr>
        </w:div>
      </w:divsChild>
    </w:div>
    <w:div w:id="404494122">
      <w:bodyDiv w:val="1"/>
      <w:marLeft w:val="0"/>
      <w:marRight w:val="0"/>
      <w:marTop w:val="0"/>
      <w:marBottom w:val="0"/>
      <w:divBdr>
        <w:top w:val="none" w:sz="0" w:space="0" w:color="auto"/>
        <w:left w:val="none" w:sz="0" w:space="0" w:color="auto"/>
        <w:bottom w:val="none" w:sz="0" w:space="0" w:color="auto"/>
        <w:right w:val="none" w:sz="0" w:space="0" w:color="auto"/>
      </w:divBdr>
    </w:div>
    <w:div w:id="1005786432">
      <w:bodyDiv w:val="1"/>
      <w:marLeft w:val="0"/>
      <w:marRight w:val="0"/>
      <w:marTop w:val="0"/>
      <w:marBottom w:val="0"/>
      <w:divBdr>
        <w:top w:val="none" w:sz="0" w:space="0" w:color="auto"/>
        <w:left w:val="none" w:sz="0" w:space="0" w:color="auto"/>
        <w:bottom w:val="none" w:sz="0" w:space="0" w:color="auto"/>
        <w:right w:val="none" w:sz="0" w:space="0" w:color="auto"/>
      </w:divBdr>
      <w:divsChild>
        <w:div w:id="245652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blind.org/newsletter/2022/march/en/security-and-safety-your-fingertips-braille-medicinal-products" TargetMode="External"/><Relationship Id="rId13" Type="http://schemas.openxmlformats.org/officeDocument/2006/relationships/hyperlink" Target="file://file-7Pymp8fsFnhzvKw1KbxaB3" TargetMode="External"/><Relationship Id="rId18" Type="http://schemas.openxmlformats.org/officeDocument/2006/relationships/hyperlink" Target="https://cannabisindustryjournal.com/news_article/q1-european-cannabis-industry-update-report/" TargetMode="External"/><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hyperlink" Target="https://www.euroblind.org/newsletter/2022/march/en/security-and-safety-your-fingertips-braille-medicinal-products" TargetMode="External"/><Relationship Id="rId7" Type="http://schemas.openxmlformats.org/officeDocument/2006/relationships/hyperlink" Target="https://cannabisindustryjournal.com/news_article/q1-european-cannabis-industry-update-report/" TargetMode="External"/><Relationship Id="rId12" Type="http://schemas.openxmlformats.org/officeDocument/2006/relationships/hyperlink" Target="https://www.theoriginalresinator.com/blog/what-is-freeze-dried-cannabis/" TargetMode="External"/><Relationship Id="rId17" Type="http://schemas.openxmlformats.org/officeDocument/2006/relationships/hyperlink" Target="file://file-7Pymp8fsFnhzvKw1KbxaB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file-7Pymp8fsFnhzvKw1KbxaB3" TargetMode="External"/><Relationship Id="rId20" Type="http://schemas.openxmlformats.org/officeDocument/2006/relationships/hyperlink" Target="https://www.euroblind.org/newsletter/2022/march/en/security-and-safety-your-fingertips-braille-medicinal-products" TargetMode="External"/><Relationship Id="rId1" Type="http://schemas.openxmlformats.org/officeDocument/2006/relationships/numbering" Target="numbering.xml"/><Relationship Id="rId6" Type="http://schemas.openxmlformats.org/officeDocument/2006/relationships/hyperlink" Target="file://file-7Pymp8fsFnhzvKw1KbxaB3" TargetMode="External"/><Relationship Id="rId11" Type="http://schemas.openxmlformats.org/officeDocument/2006/relationships/hyperlink" Target="https://www.theoriginalresinator.com/blog/what-is-freeze-dried-cannabis/" TargetMode="External"/><Relationship Id="rId24" Type="http://schemas.openxmlformats.org/officeDocument/2006/relationships/fontTable" Target="fontTable.xml"/><Relationship Id="rId5" Type="http://schemas.openxmlformats.org/officeDocument/2006/relationships/hyperlink" Target="https://www.theoriginalresinator.com/blog/what-is-freeze-dried-cannabis/" TargetMode="External"/><Relationship Id="rId15" Type="http://schemas.openxmlformats.org/officeDocument/2006/relationships/hyperlink" Target="file://file-7Pymp8fsFnhzvKw1KbxaB3" TargetMode="External"/><Relationship Id="rId23" Type="http://schemas.openxmlformats.org/officeDocument/2006/relationships/hyperlink" Target="https://assets.hpra.ie/data/docs/default-source/external-guidance-document/aut-g0034-guide-to-labels-and-leaflets-of-human-medicines-v25.pdf?sfvrsn=181b0802_11" TargetMode="External"/><Relationship Id="rId28" Type="http://schemas.openxmlformats.org/officeDocument/2006/relationships/customXml" Target="../customXml/item3.xml"/><Relationship Id="rId10" Type="http://schemas.openxmlformats.org/officeDocument/2006/relationships/hyperlink" Target="file://file-7Pymp8fsFnhzvKw1KbxaB3" TargetMode="External"/><Relationship Id="rId19" Type="http://schemas.openxmlformats.org/officeDocument/2006/relationships/hyperlink" Target="https://cannabisindustryjournal.com/news_article/q1-european-cannabis-industry-update-report/" TargetMode="External"/><Relationship Id="rId4" Type="http://schemas.openxmlformats.org/officeDocument/2006/relationships/webSettings" Target="webSettings.xml"/><Relationship Id="rId9" Type="http://schemas.openxmlformats.org/officeDocument/2006/relationships/hyperlink" Target="https://assets.hpra.ie/data/docs/default-source/external-guidance-document/aut-g0034-guide-to-labels-and-leaflets-of-human-medicines-v25.pdf?sfvrsn=181b0802_11" TargetMode="External"/><Relationship Id="rId14" Type="http://schemas.openxmlformats.org/officeDocument/2006/relationships/hyperlink" Target="file://file-7Pymp8fsFnhzvKw1KbxaB3" TargetMode="External"/><Relationship Id="rId22" Type="http://schemas.openxmlformats.org/officeDocument/2006/relationships/hyperlink" Target="https://assets.hpra.ie/data/docs/default-source/external-guidance-document/aut-g0034-guide-to-labels-and-leaflets-of-human-medicines-v25.pdf?sfvrsn=181b0802_11" TargetMode="External"/><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3229174AE2D8445B09EABF9ADDF9DDC" ma:contentTypeVersion="13" ma:contentTypeDescription="Crear nuevo documento." ma:contentTypeScope="" ma:versionID="dcba868a0128511774b2981cd5803e6e">
  <xsd:schema xmlns:xsd="http://www.w3.org/2001/XMLSchema" xmlns:xs="http://www.w3.org/2001/XMLSchema" xmlns:p="http://schemas.microsoft.com/office/2006/metadata/properties" xmlns:ns2="5dbec643-5a0f-4aba-9e8d-d32a5d96e644" xmlns:ns3="6f67b4b0-8696-4538-b84c-0a953db17ffb" targetNamespace="http://schemas.microsoft.com/office/2006/metadata/properties" ma:root="true" ma:fieldsID="023df1aa56bff89d4a96dd72520dd4d0" ns2:_="" ns3:_="">
    <xsd:import namespace="5dbec643-5a0f-4aba-9e8d-d32a5d96e644"/>
    <xsd:import namespace="6f67b4b0-8696-4538-b84c-0a953db17f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3:TaxCatchAll" minOccurs="0"/>
                <xsd:element ref="ns2:lcf76f155ced4ddcb4097134ff3c332f" minOccurs="0"/>
                <xsd:element ref="ns2:MediaServiceGenerationTime" minOccurs="0"/>
                <xsd:element ref="ns2:MediaServiceEventHashCode"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ec643-5a0f-4aba-9e8d-d32a5d96e6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71e457ae-f1b8-43c3-8bb3-9a0fb75e590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67b4b0-8696-4538-b84c-0a953db17ff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d6cc17d-b5b9-48f8-a9d9-1b89a5617ace}" ma:internalName="TaxCatchAll" ma:showField="CatchAllData" ma:web="6f67b4b0-8696-4538-b84c-0a953db17f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f67b4b0-8696-4538-b84c-0a953db17ffb" xsi:nil="true"/>
    <lcf76f155ced4ddcb4097134ff3c332f xmlns="5dbec643-5a0f-4aba-9e8d-d32a5d96e6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6EF416E-7784-493F-9993-8C1EF4EA959B}"/>
</file>

<file path=customXml/itemProps2.xml><?xml version="1.0" encoding="utf-8"?>
<ds:datastoreItem xmlns:ds="http://schemas.openxmlformats.org/officeDocument/2006/customXml" ds:itemID="{B3EF87BA-311C-411B-8564-C1593F8E0C89}"/>
</file>

<file path=customXml/itemProps3.xml><?xml version="1.0" encoding="utf-8"?>
<ds:datastoreItem xmlns:ds="http://schemas.openxmlformats.org/officeDocument/2006/customXml" ds:itemID="{D437AA59-3FBD-4764-969E-78BC3799416A}"/>
</file>

<file path=docProps/app.xml><?xml version="1.0" encoding="utf-8"?>
<Properties xmlns="http://schemas.openxmlformats.org/officeDocument/2006/extended-properties" xmlns:vt="http://schemas.openxmlformats.org/officeDocument/2006/docPropsVTypes">
  <Template>Normal</Template>
  <TotalTime>0</TotalTime>
  <Pages>7</Pages>
  <Words>2430</Words>
  <Characters>13851</Characters>
  <Application>Microsoft Office Word</Application>
  <DocSecurity>0</DocSecurity>
  <Lines>115</Lines>
  <Paragraphs>32</Paragraphs>
  <ScaleCrop>false</ScaleCrop>
  <Company/>
  <LinksUpToDate>false</LinksUpToDate>
  <CharactersWithSpaces>16249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 baydoun</dc:creator>
  <cp:keywords/>
  <dc:description/>
  <cp:lastModifiedBy>zaki baydoun</cp:lastModifiedBy>
  <cp:revision>4</cp:revision>
  <dcterms:created xsi:type="dcterms:W3CDTF">2025-08-01T15:00:00Z</dcterms:created>
  <dcterms:modified xsi:type="dcterms:W3CDTF">2025-08-01T15:10:00Z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0x01010013229174AE2D8445B09EABF9ADDF9DDC</vt:lpwstr>
  </property>
</Properties>
</file>