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7DF41EC4" w14:textId="06EFF63D" w:rsidR="00222B4A"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952053" w:history="1">
            <w:r w:rsidR="00222B4A" w:rsidRPr="001D0D70">
              <w:rPr>
                <w:rStyle w:val="Hyperlink"/>
                <w:noProof/>
                <w:lang w:val="en-US"/>
              </w:rPr>
              <w:t>Green Hill Canarias – Strategic Business Plan (2025 Update)</w:t>
            </w:r>
            <w:r w:rsidR="00222B4A">
              <w:rPr>
                <w:noProof/>
                <w:webHidden/>
              </w:rPr>
              <w:tab/>
            </w:r>
            <w:r w:rsidR="00222B4A">
              <w:rPr>
                <w:noProof/>
                <w:webHidden/>
              </w:rPr>
              <w:fldChar w:fldCharType="begin"/>
            </w:r>
            <w:r w:rsidR="00222B4A">
              <w:rPr>
                <w:noProof/>
                <w:webHidden/>
              </w:rPr>
              <w:instrText xml:space="preserve"> PAGEREF _Toc204952053 \h </w:instrText>
            </w:r>
            <w:r w:rsidR="00222B4A">
              <w:rPr>
                <w:noProof/>
                <w:webHidden/>
              </w:rPr>
            </w:r>
            <w:r w:rsidR="00222B4A">
              <w:rPr>
                <w:noProof/>
                <w:webHidden/>
              </w:rPr>
              <w:fldChar w:fldCharType="separate"/>
            </w:r>
            <w:r w:rsidR="00C30F17">
              <w:rPr>
                <w:noProof/>
                <w:webHidden/>
              </w:rPr>
              <w:t>1</w:t>
            </w:r>
            <w:r w:rsidR="00222B4A">
              <w:rPr>
                <w:noProof/>
                <w:webHidden/>
              </w:rPr>
              <w:fldChar w:fldCharType="end"/>
            </w:r>
          </w:hyperlink>
        </w:p>
        <w:p w14:paraId="194D4B54" w14:textId="55075FC2" w:rsidR="00222B4A" w:rsidRDefault="00222B4A">
          <w:pPr>
            <w:pStyle w:val="TOC2"/>
            <w:tabs>
              <w:tab w:val="right" w:leader="dot" w:pos="8828"/>
            </w:tabs>
            <w:rPr>
              <w:rFonts w:eastAsiaTheme="minorEastAsia"/>
              <w:noProof/>
              <w:kern w:val="2"/>
              <w:lang w:val="en-US"/>
              <w14:ligatures w14:val="standardContextual"/>
            </w:rPr>
          </w:pPr>
          <w:hyperlink w:anchor="_Toc204952054"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Executive Summary</w:t>
            </w:r>
            <w:r>
              <w:rPr>
                <w:noProof/>
                <w:webHidden/>
              </w:rPr>
              <w:tab/>
            </w:r>
            <w:r>
              <w:rPr>
                <w:noProof/>
                <w:webHidden/>
              </w:rPr>
              <w:fldChar w:fldCharType="begin"/>
            </w:r>
            <w:r>
              <w:rPr>
                <w:noProof/>
                <w:webHidden/>
              </w:rPr>
              <w:instrText xml:space="preserve"> PAGEREF _Toc204952054 \h </w:instrText>
            </w:r>
            <w:r>
              <w:rPr>
                <w:noProof/>
                <w:webHidden/>
              </w:rPr>
            </w:r>
            <w:r>
              <w:rPr>
                <w:noProof/>
                <w:webHidden/>
              </w:rPr>
              <w:fldChar w:fldCharType="separate"/>
            </w:r>
            <w:r w:rsidR="00C30F17">
              <w:rPr>
                <w:noProof/>
                <w:webHidden/>
              </w:rPr>
              <w:t>1</w:t>
            </w:r>
            <w:r>
              <w:rPr>
                <w:noProof/>
                <w:webHidden/>
              </w:rPr>
              <w:fldChar w:fldCharType="end"/>
            </w:r>
          </w:hyperlink>
        </w:p>
        <w:p w14:paraId="454F8E63" w14:textId="4698EFFD" w:rsidR="00222B4A" w:rsidRDefault="00222B4A">
          <w:pPr>
            <w:pStyle w:val="TOC3"/>
            <w:tabs>
              <w:tab w:val="right" w:leader="dot" w:pos="8828"/>
            </w:tabs>
            <w:rPr>
              <w:rFonts w:eastAsiaTheme="minorEastAsia"/>
              <w:noProof/>
              <w:kern w:val="2"/>
              <w:lang w:val="en-US"/>
              <w14:ligatures w14:val="standardContextual"/>
            </w:rPr>
          </w:pPr>
          <w:hyperlink w:anchor="_Toc204952055"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Overview</w:t>
            </w:r>
            <w:r>
              <w:rPr>
                <w:noProof/>
                <w:webHidden/>
              </w:rPr>
              <w:tab/>
            </w:r>
            <w:r>
              <w:rPr>
                <w:noProof/>
                <w:webHidden/>
              </w:rPr>
              <w:fldChar w:fldCharType="begin"/>
            </w:r>
            <w:r>
              <w:rPr>
                <w:noProof/>
                <w:webHidden/>
              </w:rPr>
              <w:instrText xml:space="preserve"> PAGEREF _Toc204952055 \h </w:instrText>
            </w:r>
            <w:r>
              <w:rPr>
                <w:noProof/>
                <w:webHidden/>
              </w:rPr>
            </w:r>
            <w:r>
              <w:rPr>
                <w:noProof/>
                <w:webHidden/>
              </w:rPr>
              <w:fldChar w:fldCharType="separate"/>
            </w:r>
            <w:r w:rsidR="00C30F17">
              <w:rPr>
                <w:noProof/>
                <w:webHidden/>
              </w:rPr>
              <w:t>1</w:t>
            </w:r>
            <w:r>
              <w:rPr>
                <w:noProof/>
                <w:webHidden/>
              </w:rPr>
              <w:fldChar w:fldCharType="end"/>
            </w:r>
          </w:hyperlink>
        </w:p>
        <w:p w14:paraId="181640A3" w14:textId="2A6F93D1" w:rsidR="00222B4A" w:rsidRDefault="00222B4A">
          <w:pPr>
            <w:pStyle w:val="TOC3"/>
            <w:tabs>
              <w:tab w:val="right" w:leader="dot" w:pos="8828"/>
            </w:tabs>
            <w:rPr>
              <w:rFonts w:eastAsiaTheme="minorEastAsia"/>
              <w:noProof/>
              <w:kern w:val="2"/>
              <w:lang w:val="en-US"/>
              <w14:ligatures w14:val="standardContextual"/>
            </w:rPr>
          </w:pPr>
          <w:hyperlink w:anchor="_Toc204952056"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Vision &amp; Mission</w:t>
            </w:r>
            <w:r>
              <w:rPr>
                <w:noProof/>
                <w:webHidden/>
              </w:rPr>
              <w:tab/>
            </w:r>
            <w:r>
              <w:rPr>
                <w:noProof/>
                <w:webHidden/>
              </w:rPr>
              <w:fldChar w:fldCharType="begin"/>
            </w:r>
            <w:r>
              <w:rPr>
                <w:noProof/>
                <w:webHidden/>
              </w:rPr>
              <w:instrText xml:space="preserve"> PAGEREF _Toc204952056 \h </w:instrText>
            </w:r>
            <w:r>
              <w:rPr>
                <w:noProof/>
                <w:webHidden/>
              </w:rPr>
            </w:r>
            <w:r>
              <w:rPr>
                <w:noProof/>
                <w:webHidden/>
              </w:rPr>
              <w:fldChar w:fldCharType="separate"/>
            </w:r>
            <w:r w:rsidR="00C30F17">
              <w:rPr>
                <w:noProof/>
                <w:webHidden/>
              </w:rPr>
              <w:t>2</w:t>
            </w:r>
            <w:r>
              <w:rPr>
                <w:noProof/>
                <w:webHidden/>
              </w:rPr>
              <w:fldChar w:fldCharType="end"/>
            </w:r>
          </w:hyperlink>
        </w:p>
        <w:p w14:paraId="28BA6A6F" w14:textId="62526D92" w:rsidR="00222B4A" w:rsidRDefault="00222B4A">
          <w:pPr>
            <w:pStyle w:val="TOC3"/>
            <w:tabs>
              <w:tab w:val="right" w:leader="dot" w:pos="8828"/>
            </w:tabs>
            <w:rPr>
              <w:rFonts w:eastAsiaTheme="minorEastAsia"/>
              <w:noProof/>
              <w:kern w:val="2"/>
              <w:lang w:val="en-US"/>
              <w14:ligatures w14:val="standardContextual"/>
            </w:rPr>
          </w:pPr>
          <w:hyperlink w:anchor="_Toc204952057"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Milestones Achieved</w:t>
            </w:r>
            <w:r>
              <w:rPr>
                <w:noProof/>
                <w:webHidden/>
              </w:rPr>
              <w:tab/>
            </w:r>
            <w:r>
              <w:rPr>
                <w:noProof/>
                <w:webHidden/>
              </w:rPr>
              <w:fldChar w:fldCharType="begin"/>
            </w:r>
            <w:r>
              <w:rPr>
                <w:noProof/>
                <w:webHidden/>
              </w:rPr>
              <w:instrText xml:space="preserve"> PAGEREF _Toc204952057 \h </w:instrText>
            </w:r>
            <w:r>
              <w:rPr>
                <w:noProof/>
                <w:webHidden/>
              </w:rPr>
            </w:r>
            <w:r>
              <w:rPr>
                <w:noProof/>
                <w:webHidden/>
              </w:rPr>
              <w:fldChar w:fldCharType="separate"/>
            </w:r>
            <w:r w:rsidR="00C30F17">
              <w:rPr>
                <w:noProof/>
                <w:webHidden/>
              </w:rPr>
              <w:t>2</w:t>
            </w:r>
            <w:r>
              <w:rPr>
                <w:noProof/>
                <w:webHidden/>
              </w:rPr>
              <w:fldChar w:fldCharType="end"/>
            </w:r>
          </w:hyperlink>
        </w:p>
        <w:p w14:paraId="1291E72A" w14:textId="7F2869F1" w:rsidR="00222B4A" w:rsidRDefault="00222B4A">
          <w:pPr>
            <w:pStyle w:val="TOC3"/>
            <w:tabs>
              <w:tab w:val="right" w:leader="dot" w:pos="8828"/>
            </w:tabs>
            <w:rPr>
              <w:rFonts w:eastAsiaTheme="minorEastAsia"/>
              <w:noProof/>
              <w:kern w:val="2"/>
              <w:lang w:val="en-US"/>
              <w14:ligatures w14:val="standardContextual"/>
            </w:rPr>
          </w:pPr>
          <w:hyperlink w:anchor="_Toc204952058"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Capital Requirements &amp; Structure</w:t>
            </w:r>
            <w:r>
              <w:rPr>
                <w:noProof/>
                <w:webHidden/>
              </w:rPr>
              <w:tab/>
            </w:r>
            <w:r>
              <w:rPr>
                <w:noProof/>
                <w:webHidden/>
              </w:rPr>
              <w:fldChar w:fldCharType="begin"/>
            </w:r>
            <w:r>
              <w:rPr>
                <w:noProof/>
                <w:webHidden/>
              </w:rPr>
              <w:instrText xml:space="preserve"> PAGEREF _Toc204952058 \h </w:instrText>
            </w:r>
            <w:r>
              <w:rPr>
                <w:noProof/>
                <w:webHidden/>
              </w:rPr>
            </w:r>
            <w:r>
              <w:rPr>
                <w:noProof/>
                <w:webHidden/>
              </w:rPr>
              <w:fldChar w:fldCharType="separate"/>
            </w:r>
            <w:r w:rsidR="00C30F17">
              <w:rPr>
                <w:noProof/>
                <w:webHidden/>
              </w:rPr>
              <w:t>3</w:t>
            </w:r>
            <w:r>
              <w:rPr>
                <w:noProof/>
                <w:webHidden/>
              </w:rPr>
              <w:fldChar w:fldCharType="end"/>
            </w:r>
          </w:hyperlink>
        </w:p>
        <w:p w14:paraId="025DEAA3" w14:textId="475B5135" w:rsidR="00222B4A" w:rsidRDefault="00222B4A">
          <w:pPr>
            <w:pStyle w:val="TOC3"/>
            <w:tabs>
              <w:tab w:val="right" w:leader="dot" w:pos="8828"/>
            </w:tabs>
            <w:rPr>
              <w:rFonts w:eastAsiaTheme="minorEastAsia"/>
              <w:noProof/>
              <w:kern w:val="2"/>
              <w:lang w:val="en-US"/>
              <w14:ligatures w14:val="standardContextual"/>
            </w:rPr>
          </w:pPr>
          <w:hyperlink w:anchor="_Toc204952059"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Strategic Advantage</w:t>
            </w:r>
            <w:r>
              <w:rPr>
                <w:noProof/>
                <w:webHidden/>
              </w:rPr>
              <w:tab/>
            </w:r>
            <w:r>
              <w:rPr>
                <w:noProof/>
                <w:webHidden/>
              </w:rPr>
              <w:fldChar w:fldCharType="begin"/>
            </w:r>
            <w:r>
              <w:rPr>
                <w:noProof/>
                <w:webHidden/>
              </w:rPr>
              <w:instrText xml:space="preserve"> PAGEREF _Toc204952059 \h </w:instrText>
            </w:r>
            <w:r>
              <w:rPr>
                <w:noProof/>
                <w:webHidden/>
              </w:rPr>
            </w:r>
            <w:r>
              <w:rPr>
                <w:noProof/>
                <w:webHidden/>
              </w:rPr>
              <w:fldChar w:fldCharType="separate"/>
            </w:r>
            <w:r w:rsidR="00C30F17">
              <w:rPr>
                <w:noProof/>
                <w:webHidden/>
              </w:rPr>
              <w:t>3</w:t>
            </w:r>
            <w:r>
              <w:rPr>
                <w:noProof/>
                <w:webHidden/>
              </w:rPr>
              <w:fldChar w:fldCharType="end"/>
            </w:r>
          </w:hyperlink>
        </w:p>
        <w:p w14:paraId="67FF216A" w14:textId="698A5384" w:rsidR="00222B4A" w:rsidRDefault="00222B4A">
          <w:pPr>
            <w:pStyle w:val="TOC3"/>
            <w:tabs>
              <w:tab w:val="right" w:leader="dot" w:pos="8828"/>
            </w:tabs>
            <w:rPr>
              <w:rFonts w:eastAsiaTheme="minorEastAsia"/>
              <w:noProof/>
              <w:kern w:val="2"/>
              <w:lang w:val="en-US"/>
              <w14:ligatures w14:val="standardContextual"/>
            </w:rPr>
          </w:pPr>
          <w:hyperlink w:anchor="_Toc204952060"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Investor Proposition</w:t>
            </w:r>
            <w:r>
              <w:rPr>
                <w:noProof/>
                <w:webHidden/>
              </w:rPr>
              <w:tab/>
            </w:r>
            <w:r>
              <w:rPr>
                <w:noProof/>
                <w:webHidden/>
              </w:rPr>
              <w:fldChar w:fldCharType="begin"/>
            </w:r>
            <w:r>
              <w:rPr>
                <w:noProof/>
                <w:webHidden/>
              </w:rPr>
              <w:instrText xml:space="preserve"> PAGEREF _Toc204952060 \h </w:instrText>
            </w:r>
            <w:r>
              <w:rPr>
                <w:noProof/>
                <w:webHidden/>
              </w:rPr>
            </w:r>
            <w:r>
              <w:rPr>
                <w:noProof/>
                <w:webHidden/>
              </w:rPr>
              <w:fldChar w:fldCharType="separate"/>
            </w:r>
            <w:r w:rsidR="00C30F17">
              <w:rPr>
                <w:noProof/>
                <w:webHidden/>
              </w:rPr>
              <w:t>4</w:t>
            </w:r>
            <w:r>
              <w:rPr>
                <w:noProof/>
                <w:webHidden/>
              </w:rPr>
              <w:fldChar w:fldCharType="end"/>
            </w:r>
          </w:hyperlink>
        </w:p>
        <w:p w14:paraId="41B1D42C" w14:textId="3B741B63" w:rsidR="00222B4A" w:rsidRDefault="00222B4A">
          <w:pPr>
            <w:pStyle w:val="TOC2"/>
            <w:tabs>
              <w:tab w:val="right" w:leader="dot" w:pos="8828"/>
            </w:tabs>
            <w:rPr>
              <w:rFonts w:eastAsiaTheme="minorEastAsia"/>
              <w:noProof/>
              <w:kern w:val="2"/>
              <w:lang w:val="en-US"/>
              <w14:ligatures w14:val="standardContextual"/>
            </w:rPr>
          </w:pPr>
          <w:hyperlink w:anchor="_Toc204952061" w:history="1">
            <w:r w:rsidRPr="001D0D70">
              <w:rPr>
                <w:rStyle w:val="Hyperlink"/>
                <w:rFonts w:ascii="Segoe UI Emoji" w:eastAsia="Times New Roman" w:hAnsi="Segoe UI Emoji" w:cs="Segoe UI Emoji"/>
                <w:b/>
                <w:bCs/>
                <w:noProof/>
                <w:lang w:val="en-US"/>
              </w:rPr>
              <w:t>📌</w:t>
            </w:r>
            <w:r w:rsidRPr="001D0D70">
              <w:rPr>
                <w:rStyle w:val="Hyperlink"/>
                <w:rFonts w:ascii="Times New Roman" w:eastAsia="Times New Roman" w:hAnsi="Times New Roman" w:cs="Times New Roman"/>
                <w:b/>
                <w:bCs/>
                <w:noProof/>
                <w:lang w:val="en-US"/>
              </w:rPr>
              <w:t xml:space="preserve"> Conclusion</w:t>
            </w:r>
            <w:r>
              <w:rPr>
                <w:noProof/>
                <w:webHidden/>
              </w:rPr>
              <w:tab/>
            </w:r>
            <w:r>
              <w:rPr>
                <w:noProof/>
                <w:webHidden/>
              </w:rPr>
              <w:fldChar w:fldCharType="begin"/>
            </w:r>
            <w:r>
              <w:rPr>
                <w:noProof/>
                <w:webHidden/>
              </w:rPr>
              <w:instrText xml:space="preserve"> PAGEREF _Toc204952061 \h </w:instrText>
            </w:r>
            <w:r>
              <w:rPr>
                <w:noProof/>
                <w:webHidden/>
              </w:rPr>
            </w:r>
            <w:r>
              <w:rPr>
                <w:noProof/>
                <w:webHidden/>
              </w:rPr>
              <w:fldChar w:fldCharType="separate"/>
            </w:r>
            <w:r w:rsidR="00C30F17">
              <w:rPr>
                <w:noProof/>
                <w:webHidden/>
              </w:rPr>
              <w:t>4</w:t>
            </w:r>
            <w:r>
              <w:rPr>
                <w:noProof/>
                <w:webHidden/>
              </w:rPr>
              <w:fldChar w:fldCharType="end"/>
            </w:r>
          </w:hyperlink>
        </w:p>
        <w:p w14:paraId="5E070E8B" w14:textId="5E2585B5" w:rsidR="00364199" w:rsidRDefault="00364199">
          <w:r>
            <w:rPr>
              <w:b/>
              <w:bCs/>
              <w:noProof/>
            </w:rPr>
            <w:fldChar w:fldCharType="end"/>
          </w:r>
        </w:p>
      </w:sdtContent>
    </w:sdt>
    <w:p w14:paraId="648D9E70" w14:textId="77777777" w:rsidR="00810DEA" w:rsidRPr="00030A52" w:rsidRDefault="00810DEA" w:rsidP="00810DEA">
      <w:pPr>
        <w:pStyle w:val="Heading1"/>
        <w:rPr>
          <w:lang w:val="en-US"/>
        </w:rPr>
      </w:pPr>
      <w:bookmarkStart w:id="0" w:name="_Toc204948506"/>
      <w:bookmarkStart w:id="1" w:name="_Toc204952053"/>
      <w:bookmarkStart w:id="2" w:name="executive-summary"/>
      <w:bookmarkStart w:id="3" w:name="X4223d0a1fa2fc343434229de6dbba84b65a1f7a"/>
      <w:bookmarkStart w:id="4" w:name="content"/>
      <w:r w:rsidRPr="00030A52">
        <w:rPr>
          <w:lang w:val="en-US"/>
        </w:rPr>
        <w:t>Green Hill Canarias – Strategic Business Plan (2025 Update)</w:t>
      </w:r>
      <w:bookmarkEnd w:id="0"/>
      <w:bookmarkEnd w:id="1"/>
    </w:p>
    <w:p w14:paraId="28042AFF" w14:textId="77777777" w:rsidR="00810DEA" w:rsidRPr="00687895" w:rsidRDefault="00810DEA" w:rsidP="00810DEA">
      <w:pPr>
        <w:spacing w:before="100" w:beforeAutospacing="1" w:after="100" w:afterAutospacing="1"/>
        <w:outlineLvl w:val="1"/>
        <w:rPr>
          <w:rFonts w:ascii="Times New Roman" w:eastAsia="Times New Roman" w:hAnsi="Times New Roman" w:cs="Times New Roman"/>
          <w:b/>
          <w:bCs/>
          <w:sz w:val="36"/>
          <w:szCs w:val="36"/>
          <w:lang w:val="en-US"/>
        </w:rPr>
      </w:pPr>
      <w:bookmarkStart w:id="5" w:name="_Toc204948507"/>
      <w:bookmarkStart w:id="6" w:name="_Toc204952054"/>
      <w:r w:rsidRPr="00687895">
        <w:rPr>
          <w:rFonts w:ascii="Segoe UI Emoji" w:eastAsia="Times New Roman" w:hAnsi="Segoe UI Emoji" w:cs="Segoe UI Emoji"/>
          <w:b/>
          <w:bCs/>
          <w:sz w:val="36"/>
          <w:szCs w:val="36"/>
          <w:lang w:val="en-US"/>
        </w:rPr>
        <w:t>🧭</w:t>
      </w:r>
      <w:r w:rsidRPr="00687895">
        <w:rPr>
          <w:rFonts w:ascii="Times New Roman" w:eastAsia="Times New Roman" w:hAnsi="Times New Roman" w:cs="Times New Roman"/>
          <w:b/>
          <w:bCs/>
          <w:sz w:val="36"/>
          <w:szCs w:val="36"/>
          <w:lang w:val="en-US"/>
        </w:rPr>
        <w:t xml:space="preserve"> Executive Summary</w:t>
      </w:r>
      <w:bookmarkEnd w:id="5"/>
      <w:bookmarkEnd w:id="6"/>
    </w:p>
    <w:p w14:paraId="42F2393A"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7" w:name="_Toc204948508"/>
      <w:bookmarkStart w:id="8" w:name="_Toc204952055"/>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Overview</w:t>
      </w:r>
      <w:bookmarkEnd w:id="7"/>
      <w:bookmarkEnd w:id="8"/>
    </w:p>
    <w:p w14:paraId="618A2F93"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0D4FFB83"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507093A6"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w:t>
      </w:r>
      <w:r w:rsidRPr="00687895">
        <w:rPr>
          <w:rFonts w:ascii="Times New Roman" w:eastAsia="Times New Roman" w:hAnsi="Times New Roman" w:cs="Times New Roman"/>
          <w:lang w:val="en-US"/>
        </w:rPr>
        <w:lastRenderedPageBreak/>
        <w:t>approach yields a pharmaceutical-grade flower of exceptional integrity—reliable, consistent, and ready to serve patients across regulated European markets from day one.</w:t>
      </w:r>
    </w:p>
    <w:p w14:paraId="09DD36F4"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9" w:name="_Toc204948509"/>
      <w:bookmarkStart w:id="10" w:name="_Toc204952056"/>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Vision &amp; Mission</w:t>
      </w:r>
      <w:bookmarkEnd w:id="9"/>
      <w:bookmarkEnd w:id="10"/>
    </w:p>
    <w:p w14:paraId="0691D47C"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technological disruption tide peaks and a sweeping regulatory wave reshapes the global cannabis landscape, Green Hill is not born with a vision or a mission but with a destiny. We are here to harness this moment of harmonic convergence between innovation and reform, transforming a once-forbidden plant into a trusted therapeutic solution. 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purity—Green Hill anchors its innovation in a physical environment as optimized as its systems. Our facility is not just built on an island; it is embedded in an ecosystem that mirrors the harmony and precision of our operational model.</w:t>
      </w:r>
    </w:p>
    <w:p w14:paraId="2391421C"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16A1F455"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Europe..</w:t>
      </w:r>
    </w:p>
    <w:p w14:paraId="5E271148"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11" w:name="_Toc204948510"/>
      <w:bookmarkStart w:id="12" w:name="_Toc204952057"/>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Milestones Achieved</w:t>
      </w:r>
      <w:bookmarkEnd w:id="11"/>
      <w:bookmarkEnd w:id="12"/>
    </w:p>
    <w:p w14:paraId="1BCEDE09"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6A28C1CE"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389FE111"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cultivation zone has since functioned as a live pilot for the company’s Quality by Design (</w:t>
      </w:r>
      <w:proofErr w:type="spellStart"/>
      <w:r w:rsidRPr="00687895">
        <w:rPr>
          <w:rFonts w:ascii="Times New Roman" w:eastAsia="Times New Roman" w:hAnsi="Times New Roman" w:cs="Times New Roman"/>
          <w:lang w:val="en-US"/>
        </w:rPr>
        <w:t>QbD</w:t>
      </w:r>
      <w:proofErr w:type="spellEnd"/>
      <w:r w:rsidRPr="00687895">
        <w:rPr>
          <w:rFonts w:ascii="Times New Roman" w:eastAsia="Times New Roman" w:hAnsi="Times New Roman" w:cs="Times New Roman"/>
          <w:lang w:val="en-US"/>
        </w:rPr>
        <w:t xml:space="preserve">) framework—gathering environmental data across seasonal conditions, </w:t>
      </w:r>
      <w:r w:rsidRPr="00687895">
        <w:rPr>
          <w:rFonts w:ascii="Times New Roman" w:eastAsia="Times New Roman" w:hAnsi="Times New Roman" w:cs="Times New Roman"/>
          <w:lang w:val="en-US"/>
        </w:rPr>
        <w:lastRenderedPageBreak/>
        <w:t>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688A0BDC"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milestone phase concludes with a fully operational pilot site, an AI-enhanced quality and validation system, and a proven technical foundation for accelerated EU-GMP certification and scalable commercialization.</w:t>
      </w:r>
    </w:p>
    <w:p w14:paraId="12F5EA17"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13" w:name="_Toc204948511"/>
      <w:bookmarkStart w:id="14" w:name="_Toc204952058"/>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Capital Requirements &amp; Structure</w:t>
      </w:r>
      <w:bookmarkEnd w:id="13"/>
      <w:bookmarkEnd w:id="14"/>
    </w:p>
    <w:p w14:paraId="7F222ECC"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5D6A3C06"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4F8D8C05"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15" w:name="_Toc204948512"/>
      <w:bookmarkStart w:id="16" w:name="_Toc204952059"/>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Strategic Advantage</w:t>
      </w:r>
      <w:bookmarkEnd w:id="15"/>
      <w:bookmarkEnd w:id="16"/>
    </w:p>
    <w:p w14:paraId="04416D7E"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operational model reflects its distinct geographic and regulatory position, reinforced by a project architecture that was reimagined during a strategic delay as a next-generation, AI-enabled platform. The facility is located in a pristine Atlantic island environment with exceptionally low ambient pollution—an ideal setting for pharmaceutical-grade cultivation. The site benefits from year-round climate stability and high solar exposure, enhancing energy efficiency and strengthening our sustainability objectives.</w:t>
      </w:r>
    </w:p>
    <w:p w14:paraId="5D122DCC"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Post-harvest processing is built around precision freeze-drying executed within 24 hours of harvest. This process not only preserves the full cannabinoid and terpene profile and ensures microbiological integrity, but also delivers vastly superior shelf life—helping eliminate revenue loss from expired inventory and extending market reach. These </w:t>
      </w:r>
      <w:r w:rsidRPr="00687895">
        <w:rPr>
          <w:rFonts w:ascii="Times New Roman" w:eastAsia="Times New Roman" w:hAnsi="Times New Roman" w:cs="Times New Roman"/>
          <w:lang w:val="en-US"/>
        </w:rPr>
        <w:lastRenderedPageBreak/>
        <w:t>capabilities are a direct result of real-time testing, recipe development, and quality refinement conducted throughout the pilot phase.</w:t>
      </w:r>
    </w:p>
    <w:p w14:paraId="1D73DFB3"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0159A1C9"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From the outset, the entire operation has been engineered to meet EU-GMP and ISO 14644 standards, positioning Green Hill as a future-ready manufacturer and the first European producer to commercialize live dried cannabis flower at pharmaceutical-grade quality.</w:t>
      </w:r>
    </w:p>
    <w:p w14:paraId="66A041A2" w14:textId="77777777" w:rsidR="00810DEA" w:rsidRPr="00687895" w:rsidRDefault="00810DEA" w:rsidP="00810DEA">
      <w:pPr>
        <w:spacing w:before="100" w:beforeAutospacing="1" w:after="100" w:afterAutospacing="1"/>
        <w:outlineLvl w:val="2"/>
        <w:rPr>
          <w:rFonts w:ascii="Times New Roman" w:eastAsia="Times New Roman" w:hAnsi="Times New Roman" w:cs="Times New Roman"/>
          <w:b/>
          <w:bCs/>
          <w:sz w:val="27"/>
          <w:szCs w:val="27"/>
          <w:lang w:val="en-US"/>
        </w:rPr>
      </w:pPr>
      <w:bookmarkStart w:id="17" w:name="_Toc204948513"/>
      <w:bookmarkStart w:id="18" w:name="_Toc204952060"/>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Investor Proposition</w:t>
      </w:r>
      <w:bookmarkEnd w:id="17"/>
      <w:bookmarkEnd w:id="18"/>
    </w:p>
    <w:p w14:paraId="2D02C4BD"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5E424047"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2EA8D7C9" w14:textId="77777777" w:rsidR="00810DEA" w:rsidRPr="00687895" w:rsidRDefault="00810DEA" w:rsidP="00810DEA">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0ACDFA00" w14:textId="77777777" w:rsidR="00030A52" w:rsidRPr="00030A52" w:rsidRDefault="00030A52" w:rsidP="00030A52">
      <w:pPr>
        <w:pStyle w:val="BodyText"/>
        <w:rPr>
          <w:lang w:val="en-US"/>
        </w:rPr>
      </w:pPr>
    </w:p>
    <w:p w14:paraId="15F15AEC" w14:textId="77777777" w:rsidR="006D1DBB" w:rsidRPr="006D1DBB" w:rsidRDefault="006D1DBB" w:rsidP="006D1DBB">
      <w:pPr>
        <w:spacing w:before="100" w:beforeAutospacing="1" w:after="100" w:afterAutospacing="1"/>
        <w:outlineLvl w:val="1"/>
        <w:rPr>
          <w:rFonts w:ascii="Times New Roman" w:eastAsia="Times New Roman" w:hAnsi="Times New Roman" w:cs="Times New Roman"/>
          <w:b/>
          <w:bCs/>
          <w:sz w:val="36"/>
          <w:szCs w:val="36"/>
          <w:lang w:val="en-US"/>
        </w:rPr>
      </w:pPr>
      <w:bookmarkStart w:id="19" w:name="conclusion"/>
      <w:bookmarkEnd w:id="2"/>
      <w:r w:rsidRPr="006D1DBB">
        <w:rPr>
          <w:rFonts w:ascii="Segoe UI Emoji" w:eastAsia="Times New Roman" w:hAnsi="Segoe UI Emoji" w:cs="Segoe UI Emoji"/>
          <w:b/>
          <w:bCs/>
          <w:sz w:val="36"/>
          <w:szCs w:val="36"/>
          <w:lang w:val="en-US"/>
        </w:rPr>
        <w:t>📌</w:t>
      </w:r>
      <w:r w:rsidRPr="006D1DBB">
        <w:rPr>
          <w:rFonts w:ascii="Times New Roman" w:eastAsia="Times New Roman" w:hAnsi="Times New Roman" w:cs="Times New Roman"/>
          <w:b/>
          <w:bCs/>
          <w:sz w:val="36"/>
          <w:szCs w:val="36"/>
          <w:lang w:val="en-US"/>
        </w:rPr>
        <w:t xml:space="preserve"> Conclusion</w:t>
      </w:r>
    </w:p>
    <w:p w14:paraId="6739C468"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Green Hill Canarias stands at the intersection of innovation, regulatory foresight, and scalable execution. With a fully validated facility design, strategic partnerships in place, and a phased roadmap aligned to GMP standards, the company is uniquely positioned to become a leading EU-GMP-certified cannabis exporter from the Canary Islands.</w:t>
      </w:r>
    </w:p>
    <w:p w14:paraId="2E30BE39"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What began as a regional pilot has evolved into a highly optimized production platform, with real-time quality control, AI-assisted validation tools, and a proprietary freeze-drying system that shortens post-harvest processing to under 48 hours—preserving both microbiological safety and therapeutic efficacy.</w:t>
      </w:r>
    </w:p>
    <w:p w14:paraId="1EFE4E86"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lastRenderedPageBreak/>
        <w:t>Backed by a capital structure that balances early-stage flexibility with long-term investor protection, Green Hill enters 2026 with construction underway, trial batches scheduled, and commercial agreements secured for its first wave of exports. With LOI-backed entry into Germany and scalable output from 3 to 9 flowering modules over the next three years, revenue visibility is strong and accelerating.</w:t>
      </w:r>
    </w:p>
    <w:p w14:paraId="1D173EE7"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Risk governance, quality assurance, and technical compliance are not treated as regulatory obligations, but as strategic assets. The QMS is designed to adapt with the company’s growth, supported by experienced pharmaceutical advisors and aligned with WHO Annex 7 and European FMEA standards. This positions Green Hill not only for early revenue, but for long-term market resilience.</w:t>
      </w:r>
    </w:p>
    <w:p w14:paraId="1FD4DDB1"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Looking ahead, the focus will remain on operational excellence, strategic distribution, and expanding formulation offerings to meet the evolving needs of European patients. As the regulatory and commercial landscape shifts, Green Hill is prepared to respond—not react—leveraging its unique tax position (ZEC), modular design, and validated infrastructure to capture sustained value.</w:t>
      </w:r>
    </w:p>
    <w:p w14:paraId="44498480"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Green Hill offers investors a disciplined, credible, and future-ready pathway to participate in the next generation of cannabinoid-based therapeutics—where compliance drives confidence, and confidence drives growth.—strategically, operationally, and financially—to deliver on its vision: becoming one of the first EU-GMP-certified cannabis producers in Spain with a direct commercial pathway to European markets.</w:t>
      </w:r>
    </w:p>
    <w:p w14:paraId="536CFAFD"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What sets Green Hill apart is not just its technological edge—such as AI-assisted cultivation, precision freeze-drying, and modular infrastructure—but its disciplined execution strategy, anchored in regulatory compliance, capital efficiency, and investor-aligned governance. The project is built to scale from a solid foundation, with risk controls and quality systems that exceed the industry norm and anticipate EU convergence toward stricter pharmaceutical standards.</w:t>
      </w:r>
    </w:p>
    <w:p w14:paraId="16E5A99C"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By the close of Phase I, Green Hill will have a validated facility, a functioning quality management system, and its first cultivation and post-harvest infrastructure fully operational. Phase II will unlock significant value through solventless extraction, process optimization, and expanded market access—positioning the company to meet rising European demand at pharmaceutical-grade quality and cost levels few competitors can match.</w:t>
      </w:r>
    </w:p>
    <w:p w14:paraId="03A87628"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The financial model is clear and credible: breakeven occurs by Q4 2026, EBITDA surpasses €12M by 2029, and ROI for early investors is projected at over 4×. The shareholder agreement ensures aligned governance, with investor protections and exit flexibility—whether through acquisition, market consolidation, or long-term revenue participation.</w:t>
      </w:r>
    </w:p>
    <w:p w14:paraId="70C97DA6"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 xml:space="preserve">In short, Green Hill offers a rare convergence of innovation, resilience, and regulatory credibility—backed by experienced leadership and a clean equity structure. We welcome investors and strategic partners to join us as we transition from construction to commercial </w:t>
      </w:r>
      <w:r w:rsidRPr="006D1DBB">
        <w:rPr>
          <w:rFonts w:ascii="Times New Roman" w:eastAsia="Times New Roman" w:hAnsi="Times New Roman" w:cs="Times New Roman"/>
          <w:lang w:val="en-US"/>
        </w:rPr>
        <w:lastRenderedPageBreak/>
        <w:t>operations in 2026–2027, confident that the value we create will be lasting, measurable, and defensible.</w:t>
      </w:r>
    </w:p>
    <w:p w14:paraId="7CE62E14" w14:textId="77777777" w:rsidR="006D1DBB" w:rsidRPr="006D1DBB" w:rsidRDefault="006D1DBB" w:rsidP="006D1DBB">
      <w:pPr>
        <w:spacing w:before="100" w:beforeAutospacing="1" w:after="100" w:afterAutospacing="1"/>
        <w:rPr>
          <w:rFonts w:ascii="Times New Roman" w:eastAsia="Times New Roman" w:hAnsi="Times New Roman" w:cs="Times New Roman"/>
          <w:lang w:val="en-US"/>
        </w:rPr>
      </w:pPr>
      <w:r w:rsidRPr="006D1DBB">
        <w:rPr>
          <w:rFonts w:ascii="Times New Roman" w:eastAsia="Times New Roman" w:hAnsi="Times New Roman" w:cs="Times New Roman"/>
          <w:lang w:val="en-US"/>
        </w:rPr>
        <w:t>Both Word and PDF versions of this plan, along with full financial models and annexes, are available for review. Ongoing communication and governance transparency remain a priority as we move toward commercialization.</w:t>
      </w:r>
    </w:p>
    <w:p w14:paraId="735061CC" w14:textId="77777777" w:rsidR="00063A6D" w:rsidRDefault="00000000">
      <w:r>
        <w:pict w14:anchorId="7A900622">
          <v:rect id="_x0000_i1025"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r>
        <w:fldChar w:fldCharType="begin"/>
      </w:r>
      <w:r w:rsidRPr="006D1DBB">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r w:rsidRPr="00030A52">
        <w:rPr>
          <w:lang w:val="en-US"/>
        </w:rPr>
        <w:t>.</w:t>
      </w:r>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Investors (Class B) appoint 3 of 5 directors; Founders (Class A) can appoint up to 2 if each retains ≥5% equity.</w:t>
      </w:r>
      <w:r w:rsidRPr="00030A52">
        <w:rPr>
          <w:lang w:val="en-US"/>
        </w:rPr>
        <w:t>.</w:t>
      </w:r>
    </w:p>
    <w:p w14:paraId="22D46077" w14:textId="77777777" w:rsidR="00063A6D" w:rsidRPr="00030A52" w:rsidRDefault="000C20D4">
      <w:pPr>
        <w:pStyle w:val="BodyText"/>
        <w:rPr>
          <w:lang w:val="en-US"/>
        </w:rPr>
      </w:pPr>
      <w:r w:rsidRPr="00030A52">
        <w:rPr>
          <w:lang w:val="en-US"/>
        </w:rPr>
        <w:t xml:space="preserve">[8] Green Hill Canarias SHA 2024 – Board Majority provision: </w:t>
      </w:r>
      <w:r w:rsidRPr="00030A52">
        <w:rPr>
          <w:i/>
          <w:iCs/>
          <w:lang w:val="en-US"/>
        </w:rPr>
        <w:t>Investor-appointed directors form majority; one serves as Chairperson.</w:t>
      </w:r>
      <w:r w:rsidRPr="00030A52">
        <w:rPr>
          <w:lang w:val="en-US"/>
        </w:rPr>
        <w:t>.</w:t>
      </w:r>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≥66% shareholder approval required for issuing new shares, incurring significant debt, M&amp;A, or altering rights.</w:t>
      </w:r>
      <w:r w:rsidRPr="00030A52">
        <w:rPr>
          <w:lang w:val="en-US"/>
        </w:rPr>
        <w:t>.</w:t>
      </w:r>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Major decisions (detailed in SHA Schedule) subject to investor veto via supermajority requirement.</w:t>
      </w:r>
      <w:r w:rsidRPr="00030A52">
        <w:rPr>
          <w:lang w:val="en-US"/>
        </w:rPr>
        <w:t>.</w:t>
      </w:r>
    </w:p>
    <w:p w14:paraId="25899720" w14:textId="77777777" w:rsidR="00063A6D" w:rsidRPr="00030A52" w:rsidRDefault="000C20D4">
      <w:pPr>
        <w:pStyle w:val="BodyText"/>
        <w:rPr>
          <w:lang w:val="en-US"/>
        </w:rPr>
      </w:pPr>
      <w:r w:rsidRPr="00030A52">
        <w:rPr>
          <w:lang w:val="en-US"/>
        </w:rPr>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lastRenderedPageBreak/>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r>
        <w:fldChar w:fldCharType="begin"/>
      </w:r>
      <w:r w:rsidRPr="006D1DBB">
        <w:rPr>
          <w:lang w:val="en-US"/>
        </w:rPr>
        <w:instrText>HYPERLINK "file://file-7Pymp8fsFnhzvKw1KbxaB3" \l ":~:text=continuity%20of%20patient%20care,hubs%2C%20leveraging%20favorable%20climates%20or" \h</w:instrText>
      </w:r>
      <w:r>
        <w:fldChar w:fldCharType="separate"/>
      </w:r>
      <w:r w:rsidRPr="00030A52">
        <w:rPr>
          <w:rStyle w:val="Hyperlink"/>
          <w:lang w:val="en-US"/>
        </w:rPr>
        <w:t>[2]</w:t>
      </w:r>
      <w:r>
        <w:fldChar w:fldCharType="end"/>
      </w:r>
      <w:r w:rsidRPr="00030A52">
        <w:rPr>
          <w:lang w:val="en-US"/>
        </w:rPr>
        <w:t>.</w:t>
      </w:r>
    </w:p>
    <w:p w14:paraId="37DBF2F4" w14:textId="77777777" w:rsidR="00063A6D" w:rsidRPr="00030A52" w:rsidRDefault="000C20D4">
      <w:pPr>
        <w:pStyle w:val="BodyText"/>
        <w:rPr>
          <w:lang w:val="en-US"/>
        </w:rPr>
      </w:pPr>
      <w:r w:rsidRPr="00030A52">
        <w:rPr>
          <w:lang w:val="en-US"/>
        </w:rPr>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r>
        <w:fldChar w:fldCharType="begin"/>
      </w:r>
      <w:r w:rsidRPr="006D1DBB">
        <w:rPr>
          <w:lang w:val="en-US"/>
        </w:rPr>
        <w:instrText>HYPERLINK "https://cannabisindustryjournal.com/news_article/q1-european-cannabis-industry-update-report/" \l ":~:text=another%20way%20,Tilray%20along%20with%20Dutch%20Bedrocan" \h</w:instrText>
      </w:r>
      <w:r>
        <w:fldChar w:fldCharType="separate"/>
      </w:r>
      <w:r w:rsidRPr="00030A52">
        <w:rPr>
          <w:rStyle w:val="Hyperlink"/>
          <w:lang w:val="en-US"/>
        </w:rPr>
        <w:t>[3]</w:t>
      </w:r>
      <w:r>
        <w:fldChar w:fldCharType="end"/>
      </w:r>
      <w:r w:rsidRPr="00030A52">
        <w:rPr>
          <w:lang w:val="en-US"/>
        </w:rPr>
        <w:t>.</w:t>
      </w:r>
    </w:p>
    <w:p w14:paraId="3ED5F35E" w14:textId="77777777" w:rsidR="00063A6D" w:rsidRPr="00030A52" w:rsidRDefault="000C20D4">
      <w:pPr>
        <w:pStyle w:val="BodyText"/>
        <w:rPr>
          <w:lang w:val="en-US"/>
        </w:rPr>
      </w:pPr>
      <w:r w:rsidRPr="00030A52">
        <w:rPr>
          <w:lang w:val="en-US"/>
        </w:rPr>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lastRenderedPageBreak/>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r>
        <w:fldChar w:fldCharType="begin"/>
      </w:r>
      <w:r w:rsidRPr="006D1DBB">
        <w:rPr>
          <w:lang w:val="en-US"/>
        </w:rPr>
        <w:instrText>HYPERLINK "https://www.euroblind.org/newsletter/2022/march/en/security-and-safety-your-fingertips-braille-medicinal-products" \l ":~:text=However%2C%20stemming%20from%20an%20EU,and%20touchable%20for%20Braille%20users" \h</w:instrText>
      </w:r>
      <w:r>
        <w:fldChar w:fldCharType="separate"/>
      </w:r>
      <w:r w:rsidRPr="00030A52">
        <w:rPr>
          <w:rStyle w:val="Hyperlink"/>
          <w:i/>
          <w:iCs/>
          <w:lang w:val="en-US"/>
        </w:rPr>
        <w:t>[6]</w:t>
      </w:r>
      <w:r>
        <w:fldChar w:fldCharType="end"/>
      </w:r>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r>
        <w:fldChar w:fldCharType="begin"/>
      </w:r>
      <w:r w:rsidRPr="006D1DBB">
        <w:rPr>
          <w:lang w:val="en-US"/>
        </w:rPr>
        <w:instrText>HYPERLINK "https://assets.hpra.ie/data/docs/default-source/external-guidance-document/aut-g0034-guide-to-labels-and-leaflets-of-human-medicines-v25.pdf?sfvrsn=181b0802_11" \l ":~:text=Directive%202001%2F83%2FEC%2C%20Article%2063,this%20is%20text%20captured%20within" \h</w:instrText>
      </w:r>
      <w:r>
        <w:fldChar w:fldCharType="separate"/>
      </w:r>
      <w:r w:rsidRPr="00030A52">
        <w:rPr>
          <w:rStyle w:val="Hyperlink"/>
          <w:i/>
          <w:iCs/>
          <w:lang w:val="en-US"/>
        </w:rPr>
        <w:t>[7]</w:t>
      </w:r>
      <w:r>
        <w:fldChar w:fldCharType="end"/>
      </w:r>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r>
        <w:fldChar w:fldCharType="begin"/>
      </w:r>
      <w:r w:rsidRPr="006D1DBB">
        <w:rPr>
          <w:lang w:val="en-US"/>
        </w:rPr>
        <w:instrText>HYPERLINK "file://file-7Pymp8fsFnhzvKw1KbxaB3" \l ":~:text=%28EMA%29" \h</w:instrText>
      </w:r>
      <w:r>
        <w:fldChar w:fldCharType="separate"/>
      </w:r>
      <w:r w:rsidRPr="00030A52">
        <w:rPr>
          <w:rStyle w:val="Hyperlink"/>
          <w:lang w:val="en-US"/>
        </w:rPr>
        <w:t>[8]</w:t>
      </w:r>
      <w:r>
        <w:fldChar w:fldCharType="end"/>
      </w:r>
      <w:r w:rsidRPr="00030A52">
        <w:rPr>
          <w:lang w:val="en-US"/>
        </w:rPr>
        <w:t>.</w:t>
      </w:r>
    </w:p>
    <w:p w14:paraId="41FBDB52" w14:textId="77777777" w:rsidR="00063A6D" w:rsidRPr="00030A52" w:rsidRDefault="000C20D4">
      <w:pPr>
        <w:pStyle w:val="BodyText"/>
        <w:rPr>
          <w:lang w:val="en-US"/>
        </w:rPr>
      </w:pPr>
      <w:r w:rsidRPr="00030A52">
        <w:rPr>
          <w:lang w:val="en-US"/>
        </w:rPr>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t xml:space="preserve">[37] Equipment Vendor Catalog – </w:t>
      </w:r>
      <w:r w:rsidRPr="00030A52">
        <w:rPr>
          <w:i/>
          <w:iCs/>
          <w:lang w:val="en-US"/>
        </w:rPr>
        <w:t>Freeze Dryer Unit:</w:t>
      </w:r>
      <w:r w:rsidRPr="00030A52">
        <w:rPr>
          <w:lang w:val="en-US"/>
        </w:rPr>
        <w:t xml:space="preserve"> </w:t>
      </w:r>
      <w:r w:rsidRPr="00030A52">
        <w:rPr>
          <w:i/>
          <w:iCs/>
          <w:lang w:val="en-US"/>
        </w:rPr>
        <w:t>Cuddon 120kg-capacity freeze dryers priced at ~€180k each (2 units planned). Comes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lastRenderedPageBreak/>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3"/>
    <w:bookmarkEnd w:id="4"/>
    <w:bookmarkEnd w:id="19"/>
    <w:p w14:paraId="62B0F044" w14:textId="77777777" w:rsidR="00063A6D" w:rsidRDefault="00000000">
      <w:r>
        <w:lastRenderedPageBreak/>
        <w:pict w14:anchorId="02483E17">
          <v:rect id="_x0000_i1026" style="width:0;height:1.5pt" o:hralign="center" o:hrstd="t" o:hr="t"/>
        </w:pict>
      </w:r>
    </w:p>
    <w:bookmarkStart w:id="20"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6">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7" w:anchor=":~:text=continuity%20of%20patient%20care,hubs%2C%20leveraging%20favorable%20climates%20or">
        <w:r w:rsidRPr="00030A52">
          <w:rPr>
            <w:rStyle w:val="Hyperlink"/>
            <w:lang w:val="en-US"/>
          </w:rPr>
          <w:t>[2]</w:t>
        </w:r>
      </w:hyperlink>
      <w:r w:rsidRPr="00030A52">
        <w:rPr>
          <w:lang w:val="en-US"/>
        </w:rPr>
        <w:t xml:space="preserve"> </w:t>
      </w:r>
      <w:hyperlink r:id="rId8" w:anchor=":~:text=AEMPS%20cultivation%2Fmanufacturing%20permit%20by%20August,for%20scheduling%20a%20GMP%20inspection">
        <w:r w:rsidRPr="00030A52">
          <w:rPr>
            <w:rStyle w:val="Hyperlink"/>
            <w:lang w:val="en-US"/>
          </w:rPr>
          <w:t>[4]</w:t>
        </w:r>
      </w:hyperlink>
      <w:r w:rsidRPr="00030A52">
        <w:rPr>
          <w:lang w:val="en-US"/>
        </w:rPr>
        <w:t xml:space="preserve"> </w:t>
      </w:r>
      <w:hyperlink r:id="rId9" w:anchor=":~:text=delay%20in%20certification,for%20the%20medical%20cannabis%20market">
        <w:r w:rsidRPr="00030A52">
          <w:rPr>
            <w:rStyle w:val="Hyperlink"/>
            <w:lang w:val="en-US"/>
          </w:rPr>
          <w:t>[5]</w:t>
        </w:r>
      </w:hyperlink>
      <w:r w:rsidRPr="00030A52">
        <w:rPr>
          <w:lang w:val="en-US"/>
        </w:rPr>
        <w:t xml:space="preserve"> </w:t>
      </w:r>
      <w:hyperlink r:id="rId10"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1">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2"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3">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14"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15">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16"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17">
        <w:r w:rsidRPr="00030A52">
          <w:rPr>
            <w:rStyle w:val="Hyperlink"/>
            <w:lang w:val="en-US"/>
          </w:rPr>
          <w:t>https://assets.hpra.ie/data/docs/default-source/external-guidance-document/aut-g0034-guide-to-labels-and-leaflets-of-human-medicines-v25.pdf?sfvrsn=181b0802_11</w:t>
        </w:r>
      </w:hyperlink>
    </w:p>
    <w:bookmarkEnd w:id="20"/>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30A52"/>
    <w:rsid w:val="000423B8"/>
    <w:rsid w:val="00063A6D"/>
    <w:rsid w:val="000C20D4"/>
    <w:rsid w:val="001D633D"/>
    <w:rsid w:val="001F0809"/>
    <w:rsid w:val="002104E3"/>
    <w:rsid w:val="00222B4A"/>
    <w:rsid w:val="002861C0"/>
    <w:rsid w:val="00301B23"/>
    <w:rsid w:val="00356407"/>
    <w:rsid w:val="00364199"/>
    <w:rsid w:val="003C1591"/>
    <w:rsid w:val="003E34CC"/>
    <w:rsid w:val="00441E9E"/>
    <w:rsid w:val="006229A8"/>
    <w:rsid w:val="00682C33"/>
    <w:rsid w:val="006D1DBB"/>
    <w:rsid w:val="006E4EA9"/>
    <w:rsid w:val="00793C7C"/>
    <w:rsid w:val="007F6C53"/>
    <w:rsid w:val="00810DEA"/>
    <w:rsid w:val="0096257B"/>
    <w:rsid w:val="00976040"/>
    <w:rsid w:val="009B5A6A"/>
    <w:rsid w:val="009F3462"/>
    <w:rsid w:val="00A60032"/>
    <w:rsid w:val="00A96733"/>
    <w:rsid w:val="00AF7431"/>
    <w:rsid w:val="00C30F17"/>
    <w:rsid w:val="00C4146B"/>
    <w:rsid w:val="00C65D38"/>
    <w:rsid w:val="00C90C59"/>
    <w:rsid w:val="00D02A2A"/>
    <w:rsid w:val="00DF1108"/>
    <w:rsid w:val="00EC656A"/>
    <w:rsid w:val="00F44912"/>
    <w:rsid w:val="00F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694">
      <w:bodyDiv w:val="1"/>
      <w:marLeft w:val="0"/>
      <w:marRight w:val="0"/>
      <w:marTop w:val="0"/>
      <w:marBottom w:val="0"/>
      <w:divBdr>
        <w:top w:val="none" w:sz="0" w:space="0" w:color="auto"/>
        <w:left w:val="none" w:sz="0" w:space="0" w:color="auto"/>
        <w:bottom w:val="none" w:sz="0" w:space="0" w:color="auto"/>
        <w:right w:val="none" w:sz="0" w:space="0" w:color="auto"/>
      </w:divBdr>
    </w:div>
    <w:div w:id="12368207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7Pymp8fsFnhzvKw1KbxaB3" TargetMode="External"/><Relationship Id="rId13" Type="http://schemas.openxmlformats.org/officeDocument/2006/relationships/hyperlink" Target="https://cannabisindustryjournal.com/news_article/q1-european-cannabis-industry-update-report/"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hyperlink" Target="file://file-7Pymp8fsFnhzvKw1KbxaB3" TargetMode="External"/><Relationship Id="rId12" Type="http://schemas.openxmlformats.org/officeDocument/2006/relationships/hyperlink" Target="https://cannabisindustryjournal.com/news_article/q1-european-cannabis-industry-update-report/" TargetMode="External"/><Relationship Id="rId17" Type="http://schemas.openxmlformats.org/officeDocument/2006/relationships/hyperlink" Target="https://assets.hpra.ie/data/docs/default-source/external-guidance-document/aut-g0034-guide-to-labels-and-leaflets-of-human-medicines-v25.pdf?sfvrsn=181b0802_11" TargetMode="External"/><Relationship Id="rId2" Type="http://schemas.openxmlformats.org/officeDocument/2006/relationships/numbering" Target="numbering.xml"/><Relationship Id="rId16" Type="http://schemas.openxmlformats.org/officeDocument/2006/relationships/hyperlink" Target="https://assets.hpra.ie/data/docs/default-source/external-guidance-document/aut-g0034-guide-to-labels-and-leaflets-of-human-medicines-v25.pdf?sfvrsn=181b0802_11"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5" Type="http://schemas.openxmlformats.org/officeDocument/2006/relationships/webSettings" Target="webSettings.xml"/><Relationship Id="rId15" Type="http://schemas.openxmlformats.org/officeDocument/2006/relationships/hyperlink" Target="https://www.euroblind.org/newsletter/2022/march/en/security-and-safety-your-fingertips-braille-medicinal-products" TargetMode="External"/><Relationship Id="rId10" Type="http://schemas.openxmlformats.org/officeDocument/2006/relationships/hyperlink" Target="file://file-7Pymp8fsFnhzvKw1KbxaB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ile-7Pymp8fsFnhzvKw1KbxaB3" TargetMode="External"/><Relationship Id="rId14" Type="http://schemas.openxmlformats.org/officeDocument/2006/relationships/hyperlink" Target="https://www.euroblind.org/newsletter/2022/march/en/security-and-safety-your-fingertips-braille-medicinal-products"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93F472FB-F32E-4C8F-931E-F903AEB6D4C8}"/>
</file>

<file path=customXml/itemProps3.xml><?xml version="1.0" encoding="utf-8"?>
<ds:datastoreItem xmlns:ds="http://schemas.openxmlformats.org/officeDocument/2006/customXml" ds:itemID="{F946F46F-3A00-4594-BC3B-656632DD4E07}"/>
</file>

<file path=customXml/itemProps4.xml><?xml version="1.0" encoding="utf-8"?>
<ds:datastoreItem xmlns:ds="http://schemas.openxmlformats.org/officeDocument/2006/customXml" ds:itemID="{7061C74D-633D-4C14-B93B-9B16E8C8EA4C}"/>
</file>

<file path=docProps/app.xml><?xml version="1.0" encoding="utf-8"?>
<Properties xmlns="http://schemas.openxmlformats.org/officeDocument/2006/extended-properties" xmlns:vt="http://schemas.openxmlformats.org/officeDocument/2006/docPropsVTypes">
  <Template>Normal</Template>
  <TotalTime>6</TotalTime>
  <Pages>10</Pages>
  <Words>4056</Words>
  <Characters>23120</Characters>
  <Application>Microsoft Office Word</Application>
  <DocSecurity>0</DocSecurity>
  <Lines>192</Lines>
  <Paragraphs>54</Paragraphs>
  <ScaleCrop>false</ScaleCrop>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7</cp:revision>
  <dcterms:created xsi:type="dcterms:W3CDTF">2025-08-01T13:33:00Z</dcterms:created>
  <dcterms:modified xsi:type="dcterms:W3CDTF">2025-08-01T13:54:00Z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