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keepNext w:val="0"/>
        <w:keepLines w:val="0"/>
        <w:spacing w:after="120" w:before="120" w:line="240" w:lineRule="auto"/>
        <w:jc w:val="center"/>
        <w:rPr>
          <w:b w:val="1"/>
          <w:i w:val="1"/>
          <w:color w:val="262626"/>
          <w:sz w:val="48"/>
          <w:szCs w:val="48"/>
        </w:rPr>
      </w:pPr>
      <w:r w:rsidDel="00000000" w:rsidR="00000000" w:rsidRPr="00000000">
        <w:rPr>
          <w:b w:val="1"/>
          <w:i w:val="1"/>
          <w:color w:val="262626"/>
          <w:sz w:val="48"/>
          <w:szCs w:val="48"/>
        </w:rPr>
        <w:drawing>
          <wp:inline distB="114300" distT="114300" distL="114300" distR="114300">
            <wp:extent cx="3548063" cy="35480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262626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120" w:before="120" w:line="240" w:lineRule="auto"/>
        <w:ind w:left="720" w:firstLine="0"/>
        <w:jc w:val="left"/>
        <w:rPr/>
      </w:pPr>
      <w:r w:rsidDel="00000000" w:rsidR="00000000" w:rsidRPr="00000000">
        <w:rPr>
          <w:b w:val="1"/>
          <w:i w:val="1"/>
          <w:color w:val="262626"/>
          <w:sz w:val="48"/>
          <w:szCs w:val="48"/>
          <w:rtl w:val="0"/>
        </w:rPr>
        <w:t xml:space="preserve">   Informe de Auditoría de 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120" w:before="120" w:line="240" w:lineRule="auto"/>
        <w:jc w:val="right"/>
        <w:rPr>
          <w:i w:val="1"/>
          <w:color w:val="262626"/>
          <w:sz w:val="50"/>
          <w:szCs w:val="50"/>
        </w:rPr>
      </w:pPr>
      <w:bookmarkStart w:colFirst="0" w:colLast="0" w:name="_gkt64du36bov" w:id="0"/>
      <w:bookmarkEnd w:id="0"/>
      <w:r w:rsidDel="00000000" w:rsidR="00000000" w:rsidRPr="00000000">
        <w:rPr>
          <w:i w:val="1"/>
          <w:color w:val="262626"/>
          <w:sz w:val="50"/>
          <w:szCs w:val="50"/>
          <w:rtl w:val="0"/>
        </w:rPr>
        <w:t xml:space="preserve">{nombre-url}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120" w:before="120" w:line="240" w:lineRule="auto"/>
        <w:jc w:val="right"/>
        <w:rPr>
          <w:b w:val="1"/>
          <w:i w:val="1"/>
          <w:color w:val="262626"/>
          <w:sz w:val="28"/>
          <w:szCs w:val="28"/>
        </w:rPr>
      </w:pPr>
      <w:r w:rsidDel="00000000" w:rsidR="00000000" w:rsidRPr="00000000">
        <w:rPr>
          <w:b w:val="1"/>
          <w:i w:val="1"/>
          <w:color w:val="262626"/>
          <w:sz w:val="28"/>
          <w:szCs w:val="28"/>
          <w:rtl w:val="0"/>
        </w:rPr>
        <w:t xml:space="preserve">Grupo URJC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  <w:rtl w:val="0"/>
        </w:rPr>
        <w:t xml:space="preserve">Versión: 1.1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1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{date}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6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10"/>
        <w:gridCol w:w="1605"/>
        <w:gridCol w:w="2580"/>
        <w:gridCol w:w="3660"/>
        <w:tblGridChange w:id="0">
          <w:tblGrid>
            <w:gridCol w:w="2310"/>
            <w:gridCol w:w="1605"/>
            <w:gridCol w:w="2580"/>
            <w:gridCol w:w="3660"/>
          </w:tblGrid>
        </w:tblGridChange>
      </w:tblGrid>
      <w:tr>
        <w:trPr>
          <w:cantSplit w:val="0"/>
          <w:trHeight w:val="44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Informe de Auditoría de Seguridad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Elaborado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Ciberseguridad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URJC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elaboración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{date}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tcBorders>
              <w:top w:color="ffffff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</w:t>
            </w:r>
          </w:p>
        </w:tc>
        <w:tc>
          <w:tcPr>
            <w:gridSpan w:val="3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OWASP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4"/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 de Versiones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ffffff" w:space="0" w:sz="4" w:val="single"/>
            </w:tcBorders>
            <w:shd w:fill="043c64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Ver.</w:t>
            </w:r>
          </w:p>
        </w:tc>
        <w:tc>
          <w:tcPr>
            <w:tcBorders>
              <w:top w:color="043c64" w:space="0" w:sz="4" w:val="single"/>
              <w:left w:color="ffffff" w:space="0" w:sz="4" w:val="single"/>
              <w:bottom w:color="043c64" w:space="0" w:sz="4" w:val="single"/>
              <w:right w:color="ffffff" w:space="0" w:sz="4" w:val="single"/>
            </w:tcBorders>
            <w:shd w:fill="043c64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43c64" w:space="0" w:sz="4" w:val="single"/>
              <w:left w:color="ffffff" w:space="0" w:sz="4" w:val="single"/>
              <w:bottom w:color="043c64" w:space="0" w:sz="4" w:val="single"/>
              <w:right w:color="ffffff" w:space="0" w:sz="4" w:val="single"/>
            </w:tcBorders>
            <w:shd w:fill="043c64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tcBorders>
              <w:top w:color="043c64" w:space="0" w:sz="4" w:val="single"/>
              <w:left w:color="ffffff" w:space="0" w:sz="4" w:val="single"/>
              <w:bottom w:color="043c64" w:space="0" w:sz="4" w:val="single"/>
              <w:right w:color="043c64" w:space="0" w:sz="4" w:val="single"/>
            </w:tcBorders>
            <w:shd w:fill="043c64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Modificaciones</w:t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  <w:shd w:fill="ffffff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{date}</w:t>
            </w:r>
          </w:p>
        </w:tc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Ciberseguridad</w:t>
            </w:r>
          </w:p>
        </w:tc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informe</w:t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43c64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43c64"/>
          <w:sz w:val="48"/>
          <w:szCs w:val="4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f27goc7hkz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ogkx3bkif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Metodología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amd1ycorj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Resumen Ejecutivo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4da2ptrp42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Resumen de vulnerabilidades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t3k68oxtwa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Análisis de Vulnerabilidades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2000"/>
            </w:tabs>
            <w:spacing w:after="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dg7dn46on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Checklist Requerimientos de Seguridad Web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color w:val="26262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color w:val="26262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color w:val="26262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70.0" w:type="dxa"/>
        <w:jc w:val="left"/>
        <w:tblInd w:w="-6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2f27goc7hkzp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1. Alcance</w:t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La presente auditoría tiene como alcance la evaluación de vulnerabilidades y requisitos de seguridad de la plataforma web {url}. Con el objetivo de no causar interrupciones de servicio en la plataforma de producción, la auditoría se ha llevado a cabo en el entorno de preproducción que corresponde con {url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Se ha seguido una modalidad de auditoría de caja gris, en la que se ha facilitado información acerca de los activos a auditar incluyendo información técnica, servicios instalados, usuarios y contraseñas para acceder a la plataforma.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55.0" w:type="dxa"/>
        <w:jc w:val="left"/>
        <w:tblInd w:w="-6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55"/>
        <w:tblGridChange w:id="0">
          <w:tblGrid>
            <w:gridCol w:w="10155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jogkx3bkifkm" w:id="2"/>
            <w:bookmarkEnd w:id="2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2. Metodología</w:t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Las acciones y tareas realizadas en la auditoría se han llevado a cabo siguiendo una metodología propia de un ciclo de test de intrusión, junto con la metodología de auditoría web dictada por el estándar de seguridad OWASP, siguiendo las siguientes fases y actividades: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78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Adicionalmente, se han llevado a cabo pruebas manuales para identificar problemas de flujo de datos, lógica empresarial y control de acceso, todo ello recogido en el checklist de requerimientos de seguridad web.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En cuanto a la metodología OWASP, se ha clasificado las vulnerabilidades siguiendo la guía OWASP Top 10, en las que se enumeran los riesgos más críticos para la seguridad de las aplicaciones web: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-1422</wp:posOffset>
            </wp:positionH>
            <wp:positionV relativeFrom="paragraph">
              <wp:posOffset>152400</wp:posOffset>
            </wp:positionV>
            <wp:extent cx="5731200" cy="19812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Adicionalmente, para cada vulnerabilidad identificada se ha detallado proporcionando las evidencias correspondientes, el riesgo que supone, propuestas de solución y/o mitigación y enlaces de interés; junto con la calificación de la criticidad del impacto de la vulnerabilidad siguiendo la siguiente tabla: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70.0" w:type="dxa"/>
        <w:jc w:val="left"/>
        <w:tblInd w:w="-66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8325"/>
        <w:tblGridChange w:id="0">
          <w:tblGrid>
            <w:gridCol w:w="1845"/>
            <w:gridCol w:w="83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Impacto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3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Alta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Vulnerabilidad crítica que permite comprometer completamente el sistema, acceder a datos sensibles, realizar cambios no autorizados o interrumpir servicios esenciales.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798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Media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Vulnerabilidad significativa que puede ser explotada para obtener ventajas parciales o causar daños moderados.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bd85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Baja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Vulnerabilidad de bajo riesgo que puede ser explotada, pero requiere condiciones muy específicas o tiene un impacto limitado.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59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Informativa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Hallazgos que no representan una amenaza directa, pero pueden proporcionar información útil para un atacante o ser considerados buenas prácticas de remediación.</w:t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70.0" w:type="dxa"/>
        <w:jc w:val="left"/>
        <w:tblInd w:w="-6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ffffff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7A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yamd1ycorjl6" w:id="3"/>
            <w:bookmarkEnd w:id="3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3. Resumen Ejecutivo</w:t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76" w:lineRule="auto"/>
        <w:ind w:left="-566" w:right="-607" w:firstLine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{resumen_ejecutivo}</w:t>
      </w:r>
    </w:p>
    <w:tbl>
      <w:tblPr>
        <w:tblStyle w:val="Table6"/>
        <w:tblW w:w="10140.0" w:type="dxa"/>
        <w:jc w:val="left"/>
        <w:tblInd w:w="-621.0" w:type="dxa"/>
        <w:tblLayout w:type="fixed"/>
        <w:tblLook w:val="04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rHeight w:val="5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4. Resumen de vulnerabilidades</w:t>
            </w:r>
          </w:p>
        </w:tc>
      </w:tr>
      <w:tr>
        <w:trPr>
          <w:cantSplit w:val="0"/>
          <w:trHeight w:val="5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c4da2ptrp429" w:id="4"/>
            <w:bookmarkEnd w:id="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3434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185.0" w:type="dxa"/>
        <w:jc w:val="left"/>
        <w:tblInd w:w="-66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5"/>
        <w:gridCol w:w="870"/>
        <w:gridCol w:w="1245"/>
        <w:gridCol w:w="1365"/>
        <w:gridCol w:w="1320"/>
        <w:tblGridChange w:id="0">
          <w:tblGrid>
            <w:gridCol w:w="5385"/>
            <w:gridCol w:w="870"/>
            <w:gridCol w:w="1245"/>
            <w:gridCol w:w="1365"/>
            <w:gridCol w:w="1320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Vulnerabilidad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Nº Alertas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Categoría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OWASP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Criticidad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43c6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</w:t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140.0" w:type="dxa"/>
        <w:jc w:val="left"/>
        <w:tblInd w:w="-641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43c64" w:space="0" w:sz="4" w:val="single"/>
              <w:left w:color="043c64" w:space="0" w:sz="4" w:val="single"/>
              <w:bottom w:color="043c64" w:space="0" w:sz="4" w:val="single"/>
              <w:right w:color="043c64" w:space="0" w:sz="4" w:val="single"/>
            </w:tcBorders>
            <w:shd w:fill="043c64" w:val="clear"/>
            <w:tcMar>
              <w:top w:w="56.0" w:type="dxa"/>
              <w:left w:w="56.0" w:type="dxa"/>
              <w:bottom w:w="56.0" w:type="dxa"/>
              <w:right w:w="56.0" w:type="dxa"/>
            </w:tcMar>
          </w:tcPr>
          <w:p w:rsidR="00000000" w:rsidDel="00000000" w:rsidP="00000000" w:rsidRDefault="00000000" w:rsidRPr="00000000" w14:paraId="00000092">
            <w:pPr>
              <w:pStyle w:val="Heading1"/>
              <w:spacing w:after="20" w:before="20" w:lineRule="auto"/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</w:rPr>
            </w:pPr>
            <w:bookmarkStart w:colFirst="0" w:colLast="0" w:name="_qt3k68oxtwam" w:id="5"/>
            <w:bookmarkEnd w:id="5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0"/>
              </w:rPr>
              <w:t xml:space="preserve">5. Análisis de Vulnerabilidades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43c64" w:space="0" w:sz="4" w:val="single"/>
              <w:left w:color="ffffff" w:space="0" w:sz="4" w:val="single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566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566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continuación,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se detallan las vulnerabilidades identificadas durante la auditoría de seguridad. Para cada vulnerabilidad, se incluye una descripción del problema, el riesgo asociado, así como recomendaciones y medidas correctoras. Además, se proporcionan enlaces de interés con recursos adicionales que permiten profundizar en la comprensión de cada vulnerabilidad y en las mejores prácticas para su remediación.</w:t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bookmarkStart w:colFirst="0" w:colLast="0" w:name="_o1gbra9h7rmv" w:id="6"/>
      <w:bookmarkEnd w:id="6"/>
      <w:r w:rsidDel="00000000" w:rsidR="00000000" w:rsidRPr="00000000">
        <w:rPr>
          <w:rtl w:val="0"/>
        </w:rPr>
      </w:r>
    </w:p>
    <w:tbl>
      <w:tblPr>
        <w:tblStyle w:val="Table9"/>
        <w:tblW w:w="10185.0" w:type="dxa"/>
        <w:jc w:val="left"/>
        <w:tblInd w:w="-62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2460"/>
        <w:gridCol w:w="2580"/>
        <w:gridCol w:w="2820"/>
        <w:tblGridChange w:id="0">
          <w:tblGrid>
            <w:gridCol w:w="2325"/>
            <w:gridCol w:w="2460"/>
            <w:gridCol w:w="2580"/>
            <w:gridCol w:w="2820"/>
          </w:tblGrid>
        </w:tblGridChange>
      </w:tblGrid>
      <w:tr>
        <w:trPr>
          <w:cantSplit w:val="0"/>
          <w:trHeight w:val="242" w:hRule="atLeast"/>
          <w:tblHeader w:val="0"/>
        </w:trPr>
        <w:tc>
          <w:tcPr>
            <w:gridSpan w:val="4"/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043c64" w:val="clear"/>
            <w:tcMar>
              <w:top w:w="43.0" w:type="dxa"/>
              <w:left w:w="43.0" w:type="dxa"/>
              <w:bottom w:w="43.0" w:type="dxa"/>
              <w:right w:w="43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Style w:val="Heading2"/>
              <w:spacing w:after="0" w:before="0" w:line="240" w:lineRule="auto"/>
              <w:rPr/>
            </w:pPr>
            <w:bookmarkStart w:colFirst="0" w:colLast="0" w:name="_3j60yrtrgw06" w:id="7"/>
            <w:bookmarkEnd w:id="7"/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6"/>
                <w:szCs w:val="26"/>
                <w:rtl w:val="0"/>
              </w:rPr>
              <w:t xml:space="preserve">[VULN-{numero}] {alert_name}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Criticidad</w:t>
            </w:r>
          </w:p>
        </w:tc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Categoría</w:t>
            </w:r>
          </w:p>
        </w:tc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CWE</w:t>
            </w:r>
          </w:p>
        </w:tc>
        <w:tc>
          <w:tcPr>
            <w:tcBorders>
              <w:top w:color="043c64" w:space="0" w:sz="8" w:val="single"/>
              <w:left w:color="043c64" w:space="0" w:sz="8" w:val="single"/>
              <w:bottom w:color="043c64" w:space="0" w:sz="8" w:val="single"/>
              <w:right w:color="043c64" w:space="0" w:sz="8" w:val="single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Fuente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43c64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{risk}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43c64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{owasp}</w:t>
            </w:r>
          </w:p>
        </w:tc>
        <w:tc>
          <w:tcPr>
            <w:tcBorders>
              <w:top w:color="043c64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{cwe}</w:t>
            </w:r>
          </w:p>
        </w:tc>
        <w:tc>
          <w:tcPr>
            <w:tcBorders>
              <w:top w:color="043c64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{url}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Detalles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{detalles}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Riesgo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deeaf6" w:space="0" w:sz="8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{riesgo}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tcBorders>
              <w:top w:color="deeaf6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Solución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{solucion}</w:t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tcBorders>
              <w:top w:color="ffffff" w:space="0" w:sz="8" w:val="single"/>
              <w:left w:color="deeaf6" w:space="0" w:sz="8" w:val="single"/>
              <w:bottom w:color="043c64" w:space="0" w:sz="24" w:val="single"/>
              <w:right w:color="000000" w:space="0" w:sz="0" w:val="nil"/>
            </w:tcBorders>
            <w:shd w:fill="deeaf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6262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Referencias</w:t>
            </w:r>
          </w:p>
        </w:tc>
        <w:tc>
          <w:tcPr>
            <w:gridSpan w:val="3"/>
            <w:tcBorders>
              <w:top w:color="ffffff" w:space="0" w:sz="8" w:val="single"/>
              <w:left w:color="000000" w:space="0" w:sz="0" w:val="nil"/>
              <w:bottom w:color="043c64" w:space="0" w:sz="24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gridSpan w:val="4"/>
            <w:tcBorders>
              <w:top w:color="043c64" w:space="0" w:sz="24" w:val="single"/>
              <w:left w:color="ffffff" w:space="0" w:sz="8" w:val="single"/>
              <w:bottom w:color="ffffff" w:space="0" w:sz="24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{referencias}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6262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" w:right="-607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-566" w:right="-60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566" w:footer="36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26262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262626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10200.0" w:type="dxa"/>
      <w:jc w:val="center"/>
      <w:tblBorders>
        <w:top w:color="f3f3f3" w:space="0" w:sz="4" w:val="single"/>
        <w:left w:color="f3f3f3" w:space="0" w:sz="4" w:val="single"/>
        <w:bottom w:color="f3f3f3" w:space="0" w:sz="4" w:val="single"/>
        <w:right w:color="f3f3f3" w:space="0" w:sz="4" w:val="single"/>
        <w:insideH w:color="f3f3f3" w:space="0" w:sz="4" w:val="single"/>
        <w:insideV w:color="f3f3f3" w:space="0" w:sz="4" w:val="single"/>
      </w:tblBorders>
      <w:tblLayout w:type="fixed"/>
      <w:tblLook w:val="0000"/>
    </w:tblPr>
    <w:tblGrid>
      <w:gridCol w:w="1695"/>
      <w:gridCol w:w="3390"/>
      <w:gridCol w:w="2880"/>
      <w:gridCol w:w="2235"/>
      <w:tblGridChange w:id="0">
        <w:tblGrid>
          <w:gridCol w:w="1695"/>
          <w:gridCol w:w="3390"/>
          <w:gridCol w:w="2880"/>
          <w:gridCol w:w="2235"/>
        </w:tblGrid>
      </w:tblGridChange>
    </w:tblGrid>
    <w:tr>
      <w:trPr>
        <w:cantSplit w:val="0"/>
        <w:trHeight w:val="515" w:hRule="atLeast"/>
        <w:tblHeader w:val="0"/>
      </w:trPr>
      <w:tc>
        <w:tcPr>
          <w:vMerge w:val="restart"/>
          <w:shd w:fill="043c64" w:val="clear"/>
        </w:tcPr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066800" cy="1066800"/>
                <wp:effectExtent b="0" l="0" r="0" t="0"/>
                <wp:docPr id="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shd w:fill="043c64" w:val="clear"/>
          <w:vAlign w:val="center"/>
        </w:tcPr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44" w:line="240" w:lineRule="auto"/>
            <w:ind w:left="0" w:right="2281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                 Ciberseguridad</w:t>
          </w:r>
        </w:p>
      </w:tc>
    </w:tr>
    <w:tr>
      <w:trPr>
        <w:cantSplit w:val="0"/>
        <w:trHeight w:val="500" w:hRule="atLeast"/>
        <w:tblHeader w:val="0"/>
      </w:trPr>
      <w:tc>
        <w:tcPr>
          <w:vMerge w:val="continue"/>
          <w:shd w:fill="043c64" w:val="clear"/>
        </w:tcPr>
        <w:p w:rsidR="00000000" w:rsidDel="00000000" w:rsidP="00000000" w:rsidRDefault="00000000" w:rsidRPr="00000000" w14:paraId="000000E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043c64" w:val="clear"/>
        </w:tcPr>
        <w:p w:rsidR="00000000" w:rsidDel="00000000" w:rsidP="00000000" w:rsidRDefault="00000000" w:rsidRPr="00000000" w14:paraId="000000E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4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Informe de Auditoría de Seguridad {nombre-url}</w:t>
          </w:r>
        </w:p>
      </w:tc>
      <w:tc>
        <w:tcPr>
          <w:vMerge w:val="restart"/>
          <w:shd w:fill="043c64" w:val="clear"/>
          <w:vAlign w:val="center"/>
        </w:tcPr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4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Clasificación</w:t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4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RESERVADA</w:t>
          </w:r>
        </w:p>
      </w:tc>
    </w:tr>
    <w:tr>
      <w:trPr>
        <w:cantSplit w:val="0"/>
        <w:trHeight w:val="387" w:hRule="atLeast"/>
        <w:tblHeader w:val="0"/>
      </w:trPr>
      <w:tc>
        <w:tcPr>
          <w:vMerge w:val="continue"/>
          <w:shd w:fill="043c64" w:val="clear"/>
        </w:tcPr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043c64" w:val="clear"/>
        </w:tcPr>
        <w:p w:rsidR="00000000" w:rsidDel="00000000" w:rsidP="00000000" w:rsidRDefault="00000000" w:rsidRPr="00000000" w14:paraId="000000E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6" w:line="240" w:lineRule="auto"/>
            <w:ind w:left="122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Edición: 1.1</w:t>
          </w:r>
        </w:p>
      </w:tc>
      <w:tc>
        <w:tcPr>
          <w:shd w:fill="043c64" w:val="clear"/>
        </w:tcPr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6" w:line="240" w:lineRule="auto"/>
            <w:ind w:left="123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Fecha: {date}</w:t>
          </w:r>
        </w:p>
      </w:tc>
      <w:tc>
        <w:tcPr>
          <w:vMerge w:val="continue"/>
          <w:shd w:fill="043c64" w:val="clear"/>
          <w:vAlign w:val="center"/>
        </w:tcPr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13.0" w:type="dxa"/>
        <w:left w:w="115.0" w:type="dxa"/>
        <w:bottom w:w="113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