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95" w:rsidRDefault="008E4CAC">
      <w:pPr>
        <w:pStyle w:val="Subttulo"/>
        <w:keepNext w:val="0"/>
        <w:keepLines w:val="0"/>
        <w:spacing w:before="120" w:after="120" w:line="240" w:lineRule="auto"/>
        <w:jc w:val="right"/>
        <w:rPr>
          <w:b/>
          <w:i/>
          <w:color w:val="262626"/>
          <w:sz w:val="48"/>
          <w:szCs w:val="48"/>
        </w:rPr>
      </w:pPr>
      <w:r>
        <w:rPr>
          <w:b/>
          <w:i/>
          <w:color w:val="262626"/>
          <w:sz w:val="48"/>
          <w:szCs w:val="4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381000</wp:posOffset>
            </wp:positionV>
            <wp:extent cx="5731200" cy="149860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685895">
      <w:pPr>
        <w:pStyle w:val="normal0"/>
      </w:pPr>
    </w:p>
    <w:p w:rsidR="00685895" w:rsidRDefault="008E4CAC">
      <w:pPr>
        <w:pStyle w:val="Subttulo"/>
        <w:keepNext w:val="0"/>
        <w:keepLines w:val="0"/>
        <w:spacing w:before="120" w:after="120" w:line="240" w:lineRule="auto"/>
        <w:jc w:val="right"/>
      </w:pPr>
      <w:r>
        <w:rPr>
          <w:b/>
          <w:i/>
          <w:color w:val="262626"/>
          <w:sz w:val="48"/>
          <w:szCs w:val="48"/>
        </w:rPr>
        <w:t>Informe de Auditoría de Seguridad</w:t>
      </w:r>
    </w:p>
    <w:p w:rsidR="00685895" w:rsidRDefault="0078336C">
      <w:pPr>
        <w:pStyle w:val="Subttulo"/>
        <w:keepNext w:val="0"/>
        <w:keepLines w:val="0"/>
        <w:spacing w:before="120" w:after="120" w:line="240" w:lineRule="auto"/>
        <w:jc w:val="right"/>
        <w:rPr>
          <w:i/>
          <w:color w:val="262626"/>
          <w:sz w:val="50"/>
          <w:szCs w:val="50"/>
        </w:rPr>
      </w:pPr>
      <w:bookmarkStart w:id="0" w:name="_6b586og4dtda" w:colFirst="0" w:colLast="0"/>
      <w:bookmarkEnd w:id="0"/>
      <w:r>
        <w:rPr>
          <w:i/>
          <w:color w:val="262626"/>
          <w:sz w:val="50"/>
          <w:szCs w:val="50"/>
        </w:rPr>
        <w:t>{nombre-url}</w:t>
      </w:r>
    </w:p>
    <w:p w:rsidR="00685895" w:rsidRDefault="00685895">
      <w:pPr>
        <w:pStyle w:val="normal0"/>
      </w:pPr>
    </w:p>
    <w:p w:rsidR="00685895" w:rsidRDefault="008E4CAC">
      <w:pPr>
        <w:pStyle w:val="Subttulo"/>
        <w:keepNext w:val="0"/>
        <w:keepLines w:val="0"/>
        <w:spacing w:before="120" w:after="120" w:line="240" w:lineRule="auto"/>
        <w:jc w:val="right"/>
        <w:rPr>
          <w:b/>
          <w:i/>
          <w:color w:val="262626"/>
          <w:sz w:val="28"/>
          <w:szCs w:val="28"/>
        </w:rPr>
      </w:pPr>
      <w:r>
        <w:rPr>
          <w:b/>
          <w:i/>
          <w:color w:val="262626"/>
          <w:sz w:val="28"/>
          <w:szCs w:val="28"/>
        </w:rPr>
        <w:t>Grupo COFARES</w:t>
      </w:r>
    </w:p>
    <w:p w:rsidR="00685895" w:rsidRDefault="008E4CAC">
      <w:pPr>
        <w:pStyle w:val="normal0"/>
        <w:spacing w:before="120" w:after="120" w:line="240" w:lineRule="auto"/>
        <w:jc w:val="right"/>
        <w:rPr>
          <w:i/>
          <w:color w:val="262626"/>
          <w:sz w:val="28"/>
          <w:szCs w:val="28"/>
        </w:rPr>
      </w:pPr>
      <w:r>
        <w:rPr>
          <w:i/>
          <w:color w:val="262626"/>
          <w:sz w:val="28"/>
          <w:szCs w:val="28"/>
        </w:rPr>
        <w:t>Versión: 1.1</w:t>
      </w:r>
    </w:p>
    <w:p w:rsidR="00685895" w:rsidRDefault="0078336C">
      <w:pPr>
        <w:pStyle w:val="normal0"/>
        <w:spacing w:before="120" w:after="120" w:line="240" w:lineRule="auto"/>
        <w:jc w:val="right"/>
        <w:rPr>
          <w:b/>
          <w:i/>
          <w:color w:val="262626"/>
          <w:sz w:val="28"/>
          <w:szCs w:val="28"/>
        </w:rPr>
      </w:pPr>
      <w:r>
        <w:rPr>
          <w:i/>
          <w:sz w:val="28"/>
          <w:szCs w:val="28"/>
        </w:rPr>
        <w:t>{date}</w:t>
      </w:r>
    </w:p>
    <w:p w:rsidR="00685895" w:rsidRDefault="00685895">
      <w:pPr>
        <w:pStyle w:val="normal0"/>
        <w:spacing w:line="360" w:lineRule="auto"/>
        <w:rPr>
          <w:color w:val="262626"/>
          <w:sz w:val="20"/>
          <w:szCs w:val="20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</w:pPr>
    </w:p>
    <w:tbl>
      <w:tblPr>
        <w:tblStyle w:val="a"/>
        <w:tblW w:w="1015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10"/>
        <w:gridCol w:w="1605"/>
        <w:gridCol w:w="2580"/>
        <w:gridCol w:w="3660"/>
      </w:tblGrid>
      <w:tr w:rsidR="00685895">
        <w:trPr>
          <w:trHeight w:val="446"/>
        </w:trPr>
        <w:tc>
          <w:tcPr>
            <w:tcW w:w="231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Título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Informe de Auditoría de Seguridad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Elaborado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Ciberseguridad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Responsable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 Iván Montes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elaboración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78336C" w:rsidP="0078336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{date}</w:t>
            </w:r>
          </w:p>
        </w:tc>
      </w:tr>
      <w:tr w:rsidR="00685895">
        <w:trPr>
          <w:trHeight w:val="446"/>
        </w:trPr>
        <w:tc>
          <w:tcPr>
            <w:tcW w:w="2310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Metodología</w:t>
            </w:r>
          </w:p>
        </w:tc>
        <w:tc>
          <w:tcPr>
            <w:tcW w:w="7845" w:type="dxa"/>
            <w:gridSpan w:val="3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OWASP</w:t>
            </w:r>
          </w:p>
        </w:tc>
      </w:tr>
      <w:tr w:rsidR="00685895">
        <w:trPr>
          <w:trHeight w:val="446"/>
        </w:trPr>
        <w:tc>
          <w:tcPr>
            <w:tcW w:w="10155" w:type="dxa"/>
            <w:gridSpan w:val="4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Control de Versiones</w:t>
            </w:r>
          </w:p>
        </w:tc>
      </w:tr>
      <w:tr w:rsidR="00685895">
        <w:tc>
          <w:tcPr>
            <w:tcW w:w="231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FFFFFF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Ver.</w:t>
            </w:r>
          </w:p>
        </w:tc>
        <w:tc>
          <w:tcPr>
            <w:tcW w:w="1605" w:type="dxa"/>
            <w:tcBorders>
              <w:top w:val="single" w:sz="4" w:space="0" w:color="043C64"/>
              <w:left w:val="single" w:sz="4" w:space="0" w:color="FFFFFF"/>
              <w:bottom w:val="single" w:sz="4" w:space="0" w:color="043C64"/>
              <w:right w:val="single" w:sz="4" w:space="0" w:color="FFFFFF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2580" w:type="dxa"/>
            <w:tcBorders>
              <w:top w:val="single" w:sz="4" w:space="0" w:color="043C64"/>
              <w:left w:val="single" w:sz="4" w:space="0" w:color="FFFFFF"/>
              <w:bottom w:val="single" w:sz="4" w:space="0" w:color="043C64"/>
              <w:right w:val="single" w:sz="4" w:space="0" w:color="FFFFFF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Autor</w:t>
            </w:r>
          </w:p>
        </w:tc>
        <w:tc>
          <w:tcPr>
            <w:tcW w:w="3660" w:type="dxa"/>
            <w:tcBorders>
              <w:top w:val="single" w:sz="4" w:space="0" w:color="043C64"/>
              <w:left w:val="single" w:sz="4" w:space="0" w:color="FFFFFF"/>
              <w:bottom w:val="single" w:sz="4" w:space="0" w:color="043C64"/>
              <w:right w:val="single" w:sz="4" w:space="0" w:color="043C64"/>
            </w:tcBorders>
            <w:shd w:val="clear" w:color="auto" w:fill="043C64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Modificaciones</w:t>
            </w:r>
          </w:p>
        </w:tc>
      </w:tr>
      <w:tr w:rsidR="00685895">
        <w:trPr>
          <w:trHeight w:val="433"/>
        </w:trPr>
        <w:tc>
          <w:tcPr>
            <w:tcW w:w="231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  <w:shd w:val="clear" w:color="auto" w:fill="FFFFFF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605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78336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{d</w:t>
            </w:r>
            <w:r w:rsidR="008E4CAC"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58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Ciberseguridad</w:t>
            </w:r>
          </w:p>
        </w:tc>
        <w:tc>
          <w:tcPr>
            <w:tcW w:w="366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 informe</w:t>
            </w:r>
          </w:p>
        </w:tc>
      </w:tr>
    </w:tbl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8E4CA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043C64"/>
          <w:sz w:val="48"/>
          <w:szCs w:val="48"/>
        </w:rPr>
      </w:pPr>
      <w:r>
        <w:rPr>
          <w:rFonts w:ascii="Calibri" w:eastAsia="Calibri" w:hAnsi="Calibri" w:cs="Calibri"/>
          <w:b/>
          <w:color w:val="043C64"/>
          <w:sz w:val="48"/>
          <w:szCs w:val="48"/>
        </w:rPr>
        <w:t>Índice</w:t>
      </w: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sdt>
      <w:sdtPr>
        <w:id w:val="878353751"/>
        <w:docPartObj>
          <w:docPartGallery w:val="Table of Contents"/>
          <w:docPartUnique/>
        </w:docPartObj>
      </w:sdtPr>
      <w:sdtContent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 w:rsidR="008E4CAC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4oemcyod1zt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 Alcance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3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dacxzmujloap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2. Metodología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3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1as8lml38neq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3. Resumen Ejecutivo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4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hrdc86cfmqi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4. Resumen de vulnerabilidades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5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8w3sct9ttwb9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5. Análisis de Vulnerabilidades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6</w:t>
            </w:r>
          </w:hyperlink>
        </w:p>
        <w:p w:rsidR="00685895" w:rsidRDefault="00C62BAB">
          <w:pPr>
            <w:pStyle w:val="normal0"/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zfy2iuy1adz0"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6. Checklist Requerimientos de Seguridad Web</w:t>
            </w:r>
            <w:r w:rsidR="008E4CA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  <w:t>14</w:t>
            </w:r>
          </w:hyperlink>
          <w:r>
            <w:fldChar w:fldCharType="end"/>
          </w:r>
        </w:p>
      </w:sdtContent>
    </w:sdt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78336C" w:rsidRDefault="0078336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8"/>
          <w:szCs w:val="28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tbl>
      <w:tblPr>
        <w:tblStyle w:val="a0"/>
        <w:tblW w:w="10170" w:type="dxa"/>
        <w:tblInd w:w="-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70"/>
      </w:tblGrid>
      <w:tr w:rsidR="00685895">
        <w:trPr>
          <w:trHeight w:val="506"/>
        </w:trPr>
        <w:tc>
          <w:tcPr>
            <w:tcW w:w="1017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1" w:name="_p4oemcyod1zt" w:colFirst="0" w:colLast="0"/>
            <w:bookmarkEnd w:id="1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lastRenderedPageBreak/>
              <w:t>1. Alcance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La presente auditoría tiene como alcance la evaluación de vulnerabilidades y requisitos de seguridad de la plat</w:t>
      </w:r>
      <w:r w:rsidR="00467175">
        <w:rPr>
          <w:rFonts w:ascii="Calibri" w:eastAsia="Calibri" w:hAnsi="Calibri" w:cs="Calibri"/>
          <w:color w:val="262626"/>
          <w:sz w:val="24"/>
          <w:szCs w:val="24"/>
        </w:rPr>
        <w:t>aforma web {url}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. Con el objetivo de no causar interrupciones de servicio en la plataforma de producción, la auditoría se ha llevado a cabo en el entorno de preproducción que corresponde con </w:t>
      </w:r>
      <w:r w:rsidR="00467175">
        <w:rPr>
          <w:rFonts w:ascii="Calibri" w:eastAsia="Calibri" w:hAnsi="Calibri" w:cs="Calibri"/>
          <w:color w:val="262626"/>
          <w:sz w:val="24"/>
          <w:szCs w:val="24"/>
        </w:rPr>
        <w:t>{url</w:t>
      </w:r>
      <w:r w:rsidR="00467175">
        <w:t>}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Se ha seguido una modalidad de auditoría de caja gris, en la que se ha facilitado información acerca de los activos a auditar incluyendo información técnica, servicios instalados, usuarios y contraseñas para acceder a la plataforma.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tbl>
      <w:tblPr>
        <w:tblStyle w:val="a1"/>
        <w:tblW w:w="10155" w:type="dxa"/>
        <w:tblInd w:w="-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55"/>
      </w:tblGrid>
      <w:tr w:rsidR="00685895">
        <w:trPr>
          <w:trHeight w:val="506"/>
        </w:trPr>
        <w:tc>
          <w:tcPr>
            <w:tcW w:w="10155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2" w:name="_dacxzmujloap" w:colFirst="0" w:colLast="0"/>
            <w:bookmarkEnd w:id="2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2. Metodología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Las acciones y tareas realizadas en la auditoría se han llevado a cabo siguiendo una metodología propia de un ciclo de test de intrusión, junto con la metodología de auditoría web dictada por el estándar de seguridad OWASP, siguiendo las siguientes fases y actividades: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center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>
            <wp:extent cx="5731200" cy="787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center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Adicionalmente, se han llevado a cabo pruebas manuales para identificar problemas de flujo de datos, lógica empresarial y control de acceso, todo ello recogido en el checklist de requerimientos de seguridad web.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En cuanto a la metodología OWASP, se ha clasificado las vulnerabilidades siguiendo la guía OWASP Top 10, en las que se enumeran los riesgos más críticos para la seguridad de las aplicaciones web:</w:t>
      </w: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152400</wp:posOffset>
            </wp:positionV>
            <wp:extent cx="5731200" cy="1981200"/>
            <wp:effectExtent l="0" t="0" r="0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8E4CAC">
      <w:pPr>
        <w:pStyle w:val="normal0"/>
        <w:widowControl w:val="0"/>
        <w:tabs>
          <w:tab w:val="center" w:pos="4252"/>
          <w:tab w:val="right" w:pos="8504"/>
        </w:tabs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lastRenderedPageBreak/>
        <w:t>Adicionalmente, para cada vulnerabilidad identificada se ha detallado proporcionando las evidencias correspondientes, el riesgo que supone, propuestas de solución y/o mitigación y enlaces de interés; junto con la calificación de la criticidad del impacto de la vulnerabilidad siguiendo la siguiente tabla: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10"/>
          <w:szCs w:val="10"/>
        </w:rPr>
      </w:pPr>
    </w:p>
    <w:tbl>
      <w:tblPr>
        <w:tblStyle w:val="a2"/>
        <w:tblW w:w="10170" w:type="dxa"/>
        <w:tblInd w:w="-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45"/>
        <w:gridCol w:w="8325"/>
      </w:tblGrid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Impacto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Definición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3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Alta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Vulnerabilidad crítica que permite comprometer completamente el sistema, acceder a datos sensibles, realizar cambios no autorizados o interrumpir servicios esenciales.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98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Media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Vulnerabilidad significativa que puede ser explotada para obtener ventajas parciales o causar daños moderados.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85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Baja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Vulnerabilidad de bajo riesgo que puede ser explotada, pero requiere condiciones muy específicas o tiene un impacto limitado.</w:t>
            </w:r>
          </w:p>
        </w:tc>
      </w:tr>
      <w:tr w:rsidR="00685895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59F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Informativa</w:t>
            </w:r>
          </w:p>
        </w:tc>
        <w:tc>
          <w:tcPr>
            <w:tcW w:w="8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62626"/>
                <w:sz w:val="26"/>
                <w:szCs w:val="26"/>
              </w:rPr>
              <w:t>Hallazgos que no representan una amenaza directa, pero pueden proporcionar información útil para un atacante o ser considerados buenas prácticas de remediación.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16"/>
          <w:szCs w:val="16"/>
        </w:rPr>
      </w:pPr>
    </w:p>
    <w:tbl>
      <w:tblPr>
        <w:tblStyle w:val="a3"/>
        <w:tblW w:w="10170" w:type="dxa"/>
        <w:tblInd w:w="-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70"/>
      </w:tblGrid>
      <w:tr w:rsidR="00685895">
        <w:trPr>
          <w:trHeight w:val="506"/>
        </w:trPr>
        <w:tc>
          <w:tcPr>
            <w:tcW w:w="1017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3" w:name="_1as8lml38neq" w:colFirst="0" w:colLast="0"/>
            <w:bookmarkEnd w:id="3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3. Resumen Ejecutivo</w:t>
            </w:r>
          </w:p>
        </w:tc>
      </w:tr>
    </w:tbl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434343"/>
          <w:sz w:val="10"/>
          <w:szCs w:val="10"/>
        </w:rPr>
      </w:pPr>
    </w:p>
    <w:p w:rsidR="00685895" w:rsidRPr="00DF6552" w:rsidRDefault="00CC295C" w:rsidP="007D7A6E">
      <w:pPr>
        <w:pStyle w:val="normal0"/>
        <w:widowControl w:val="0"/>
        <w:tabs>
          <w:tab w:val="center" w:pos="4252"/>
          <w:tab w:val="right" w:pos="8504"/>
        </w:tabs>
        <w:ind w:left="-566" w:right="-607" w:firstLine="708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{resumen_ejecutivo}</w:t>
      </w:r>
    </w:p>
    <w:tbl>
      <w:tblPr>
        <w:tblStyle w:val="a4"/>
        <w:tblW w:w="10140" w:type="dxa"/>
        <w:tblInd w:w="-565" w:type="dxa"/>
        <w:tblLayout w:type="fixed"/>
        <w:tblLook w:val="0400"/>
      </w:tblPr>
      <w:tblGrid>
        <w:gridCol w:w="10140"/>
      </w:tblGrid>
      <w:tr w:rsidR="00685895">
        <w:trPr>
          <w:trHeight w:val="50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4. Resumen de vulnerabilidades</w:t>
            </w:r>
          </w:p>
        </w:tc>
      </w:tr>
      <w:tr w:rsidR="00685895">
        <w:trPr>
          <w:trHeight w:val="506"/>
        </w:trPr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85895" w:rsidRDefault="00685895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4" w:name="_hhrdc86cfmqi" w:colFirst="0" w:colLast="0"/>
            <w:bookmarkEnd w:id="4"/>
          </w:p>
        </w:tc>
      </w:tr>
    </w:tbl>
    <w:p w:rsidR="00685895" w:rsidRDefault="008E4CAC" w:rsidP="00533A0E">
      <w:pPr>
        <w:pStyle w:val="normal0"/>
        <w:widowControl w:val="0"/>
        <w:spacing w:line="240" w:lineRule="auto"/>
        <w:ind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  <w:r>
        <w:rPr>
          <w:rFonts w:ascii="Calibri" w:eastAsia="Calibri" w:hAnsi="Calibri" w:cs="Calibri"/>
          <w:b/>
          <w:color w:val="434343"/>
          <w:sz w:val="30"/>
          <w:szCs w:val="30"/>
        </w:rPr>
        <w:t>Evaluación de Requerimientos de Seguridad Web</w:t>
      </w:r>
      <w:r>
        <w:rPr>
          <w:noProof/>
        </w:rPr>
        <w:drawing>
          <wp:anchor distT="114300" distB="114300" distL="114300" distR="114300" simplePos="0" relativeHeight="251661312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313506</wp:posOffset>
            </wp:positionV>
            <wp:extent cx="4062413" cy="2641600"/>
            <wp:effectExtent l="0" t="0" r="0" b="0"/>
            <wp:wrapNone/>
            <wp:docPr id="6" name="image5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8E4CAC">
      <w:pPr>
        <w:pStyle w:val="normal0"/>
        <w:widowControl w:val="0"/>
        <w:spacing w:line="360" w:lineRule="auto"/>
        <w:ind w:left="-566" w:right="-607"/>
        <w:jc w:val="both"/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14D5AA"/>
          <w:sz w:val="26"/>
          <w:szCs w:val="26"/>
        </w:rPr>
        <w:t>Cumple</w:t>
      </w:r>
      <w:r>
        <w:rPr>
          <w:rFonts w:ascii="Calibri" w:eastAsia="Calibri" w:hAnsi="Calibri" w:cs="Calibri"/>
          <w:b/>
          <w:color w:val="434343"/>
          <w:sz w:val="26"/>
          <w:szCs w:val="26"/>
        </w:rPr>
        <w:t xml:space="preserve"> /</w:t>
      </w:r>
      <w:r>
        <w:rPr>
          <w:rFonts w:ascii="Calibri" w:eastAsia="Calibri" w:hAnsi="Calibri" w:cs="Calibri"/>
          <w:b/>
          <w:color w:val="FF0000"/>
          <w:sz w:val="26"/>
          <w:szCs w:val="26"/>
        </w:rPr>
        <w:t xml:space="preserve"> No cumple</w:t>
      </w:r>
      <w:r>
        <w:rPr>
          <w:noProof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-333374</wp:posOffset>
            </wp:positionH>
            <wp:positionV relativeFrom="paragraph">
              <wp:posOffset>314325</wp:posOffset>
            </wp:positionV>
            <wp:extent cx="2047875" cy="2171700"/>
            <wp:effectExtent l="0" t="0" r="0" b="0"/>
            <wp:wrapNone/>
            <wp:docPr id="2" name="image3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5895" w:rsidRDefault="00685895">
      <w:pPr>
        <w:pStyle w:val="normal0"/>
        <w:widowControl w:val="0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434343"/>
          <w:sz w:val="30"/>
          <w:szCs w:val="30"/>
        </w:rPr>
      </w:pPr>
    </w:p>
    <w:tbl>
      <w:tblPr>
        <w:tblStyle w:val="a5"/>
        <w:tblW w:w="10185" w:type="dxa"/>
        <w:tblInd w:w="-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385"/>
        <w:gridCol w:w="870"/>
        <w:gridCol w:w="1245"/>
        <w:gridCol w:w="1365"/>
        <w:gridCol w:w="1320"/>
      </w:tblGrid>
      <w:tr w:rsidR="00685895">
        <w:trPr>
          <w:trHeight w:val="462"/>
        </w:trPr>
        <w:tc>
          <w:tcPr>
            <w:tcW w:w="5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Vulnerabilidad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Nº Alertas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Categoría</w:t>
            </w:r>
          </w:p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OWASP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Criticidad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43C6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Estado</w:t>
            </w:r>
          </w:p>
        </w:tc>
      </w:tr>
    </w:tbl>
    <w:p w:rsidR="00CC48C3" w:rsidRDefault="00CC48C3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tbl>
      <w:tblPr>
        <w:tblStyle w:val="a6"/>
        <w:tblW w:w="1014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140"/>
      </w:tblGrid>
      <w:tr w:rsidR="00685895" w:rsidTr="004242B3">
        <w:trPr>
          <w:trHeight w:val="540"/>
        </w:trPr>
        <w:tc>
          <w:tcPr>
            <w:tcW w:w="10140" w:type="dxa"/>
            <w:tcBorders>
              <w:top w:val="single" w:sz="4" w:space="0" w:color="043C64"/>
              <w:left w:val="single" w:sz="4" w:space="0" w:color="043C64"/>
              <w:bottom w:val="single" w:sz="4" w:space="0" w:color="043C64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5" w:name="_8w3sct9ttwb9" w:colFirst="0" w:colLast="0"/>
            <w:bookmarkEnd w:id="5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5. Análisis de Vulnerabilidades</w:t>
            </w:r>
          </w:p>
        </w:tc>
      </w:tr>
      <w:tr w:rsidR="00685895" w:rsidTr="004242B3">
        <w:tc>
          <w:tcPr>
            <w:tcW w:w="10140" w:type="dxa"/>
            <w:tcBorders>
              <w:top w:val="single" w:sz="4" w:space="0" w:color="043C64"/>
              <w:left w:val="single" w:sz="4" w:space="0" w:color="FFFFFF"/>
              <w:bottom w:val="nil"/>
              <w:right w:val="nil"/>
            </w:tcBorders>
            <w:shd w:val="clear" w:color="auto" w:fill="FFFFFF"/>
          </w:tcPr>
          <w:p w:rsidR="00685895" w:rsidRDefault="00685895">
            <w:pPr>
              <w:pStyle w:val="normal0"/>
              <w:widowControl w:val="0"/>
              <w:ind w:firstLine="566"/>
              <w:jc w:val="both"/>
              <w:rPr>
                <w:rFonts w:ascii="Calibri" w:eastAsia="Calibri" w:hAnsi="Calibri" w:cs="Calibri"/>
                <w:sz w:val="8"/>
                <w:szCs w:val="8"/>
              </w:rPr>
            </w:pPr>
          </w:p>
          <w:p w:rsidR="00685895" w:rsidRPr="000E4934" w:rsidRDefault="008E4CAC" w:rsidP="000E4934">
            <w:pPr>
              <w:pStyle w:val="normal0"/>
              <w:widowControl w:val="0"/>
              <w:ind w:firstLine="566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continuación,</w:t>
            </w: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 xml:space="preserve"> se detallan las vulnerabilidades identificadas durante la auditoría de seguridad. Para cada vulnerabilidad, se incluye una descripción del problema, el riesgo asociado, así como recomendaciones y medidas correctoras. Además, se proporcionan enlaces de interés con recursos adicionales que permiten profundizar en la comprensión de cada vulnerabilidad y en las mejores prácticas para su remediación.</w:t>
            </w:r>
          </w:p>
        </w:tc>
      </w:tr>
    </w:tbl>
    <w:p w:rsidR="00533A0E" w:rsidRDefault="00533A0E" w:rsidP="000E4934">
      <w:pPr>
        <w:pStyle w:val="normal0"/>
        <w:widowControl w:val="0"/>
        <w:spacing w:line="240" w:lineRule="auto"/>
        <w:ind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  <w:bookmarkStart w:id="6" w:name="_yooj2qny8tol" w:colFirst="0" w:colLast="0"/>
      <w:bookmarkEnd w:id="6"/>
    </w:p>
    <w:tbl>
      <w:tblPr>
        <w:tblStyle w:val="a7"/>
        <w:tblW w:w="10185" w:type="dxa"/>
        <w:tblInd w:w="-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25"/>
        <w:gridCol w:w="2460"/>
        <w:gridCol w:w="2580"/>
        <w:gridCol w:w="2820"/>
      </w:tblGrid>
      <w:tr w:rsidR="00685895">
        <w:trPr>
          <w:trHeight w:val="242"/>
        </w:trPr>
        <w:tc>
          <w:tcPr>
            <w:tcW w:w="10185" w:type="dxa"/>
            <w:gridSpan w:val="4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043C64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685895" w:rsidRDefault="008E4CAC">
            <w:pPr>
              <w:pStyle w:val="Ttulo2"/>
              <w:spacing w:before="0" w:after="0" w:line="240" w:lineRule="auto"/>
            </w:pPr>
            <w:bookmarkStart w:id="7" w:name="_zhzz5t564ry" w:colFirst="0" w:colLast="0"/>
            <w:bookmarkEnd w:id="7"/>
            <w:r>
              <w:rPr>
                <w:rFonts w:ascii="Calibri" w:eastAsia="Calibri" w:hAnsi="Calibri" w:cs="Calibri"/>
                <w:b/>
                <w:color w:val="FFFFFF"/>
                <w:sz w:val="26"/>
                <w:szCs w:val="26"/>
              </w:rPr>
              <w:t>[VULN-{numero}] {alert_name}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Criticidad</w:t>
            </w:r>
          </w:p>
        </w:tc>
        <w:tc>
          <w:tcPr>
            <w:tcW w:w="246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Categoría</w:t>
            </w:r>
          </w:p>
        </w:tc>
        <w:tc>
          <w:tcPr>
            <w:tcW w:w="258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CWE</w:t>
            </w:r>
          </w:p>
        </w:tc>
        <w:tc>
          <w:tcPr>
            <w:tcW w:w="2820" w:type="dxa"/>
            <w:tcBorders>
              <w:top w:val="single" w:sz="8" w:space="0" w:color="043C64"/>
              <w:left w:val="single" w:sz="8" w:space="0" w:color="043C64"/>
              <w:bottom w:val="single" w:sz="8" w:space="0" w:color="043C64"/>
              <w:right w:val="single" w:sz="8" w:space="0" w:color="043C64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262626"/>
              </w:rPr>
            </w:pPr>
            <w:r>
              <w:rPr>
                <w:rFonts w:ascii="Calibri" w:eastAsia="Calibri" w:hAnsi="Calibri" w:cs="Calibri"/>
                <w:b/>
                <w:color w:val="262626"/>
              </w:rPr>
              <w:t>Fuente</w:t>
            </w:r>
          </w:p>
        </w:tc>
      </w:tr>
      <w:tr w:rsidR="00685895" w:rsidTr="001A6A63">
        <w:trPr>
          <w:trHeight w:val="865"/>
        </w:trPr>
        <w:tc>
          <w:tcPr>
            <w:tcW w:w="2325" w:type="dxa"/>
            <w:tcBorders>
              <w:top w:val="single" w:sz="8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Pr="003A52A4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</w:pPr>
            <w:r w:rsidRPr="003A52A4">
              <w:rPr>
                <w:rFonts w:ascii="Calibri" w:eastAsia="Calibri" w:hAnsi="Calibri" w:cs="Calibri"/>
                <w:b/>
                <w:sz w:val="32"/>
                <w:szCs w:val="32"/>
              </w:rPr>
              <w:t>{risk}</w:t>
            </w:r>
          </w:p>
        </w:tc>
        <w:tc>
          <w:tcPr>
            <w:tcW w:w="246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{owasp}</w:t>
            </w:r>
          </w:p>
        </w:tc>
        <w:tc>
          <w:tcPr>
            <w:tcW w:w="258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{cwe}</w:t>
            </w:r>
          </w:p>
        </w:tc>
        <w:tc>
          <w:tcPr>
            <w:tcW w:w="2820" w:type="dxa"/>
            <w:tcBorders>
              <w:top w:val="single" w:sz="8" w:space="0" w:color="043C64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  <w:r>
              <w:rPr>
                <w:rFonts w:ascii="Calibri" w:eastAsia="Calibri" w:hAnsi="Calibri" w:cs="Calibri"/>
                <w:color w:val="262626"/>
              </w:rPr>
              <w:t>{url}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Detalles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{detalles}</w:t>
            </w:r>
          </w:p>
        </w:tc>
      </w:tr>
      <w:tr w:rsidR="00685895" w:rsidTr="001A6A63">
        <w:trPr>
          <w:trHeight w:val="420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Riesgo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DEEAF6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{riesgo}</w:t>
            </w:r>
          </w:p>
        </w:tc>
      </w:tr>
      <w:tr w:rsidR="00685895" w:rsidTr="001A6A63">
        <w:trPr>
          <w:trHeight w:val="497"/>
        </w:trPr>
        <w:tc>
          <w:tcPr>
            <w:tcW w:w="2325" w:type="dxa"/>
            <w:tcBorders>
              <w:top w:val="single" w:sz="8" w:space="0" w:color="DEEAF6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Solución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440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{solucion}</w:t>
            </w:r>
          </w:p>
        </w:tc>
      </w:tr>
      <w:tr w:rsidR="00685895" w:rsidTr="001A6A63">
        <w:trPr>
          <w:trHeight w:val="512"/>
        </w:trPr>
        <w:tc>
          <w:tcPr>
            <w:tcW w:w="2325" w:type="dxa"/>
            <w:tcBorders>
              <w:top w:val="single" w:sz="8" w:space="0" w:color="FFFFFF"/>
              <w:left w:val="single" w:sz="8" w:space="0" w:color="DEEAF6"/>
              <w:bottom w:val="single" w:sz="24" w:space="0" w:color="043C64"/>
              <w:right w:val="nil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62626"/>
                <w:sz w:val="26"/>
                <w:szCs w:val="26"/>
              </w:rPr>
              <w:t>Referencias</w:t>
            </w:r>
          </w:p>
        </w:tc>
        <w:tc>
          <w:tcPr>
            <w:tcW w:w="7860" w:type="dxa"/>
            <w:gridSpan w:val="3"/>
            <w:tcBorders>
              <w:top w:val="single" w:sz="8" w:space="0" w:color="FFFFFF"/>
              <w:left w:val="nil"/>
              <w:bottom w:val="single" w:sz="24" w:space="0" w:color="043C64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262626"/>
              </w:rPr>
            </w:pPr>
          </w:p>
        </w:tc>
      </w:tr>
      <w:tr w:rsidR="00685895" w:rsidTr="001A6A63">
        <w:trPr>
          <w:trHeight w:val="512"/>
        </w:trPr>
        <w:tc>
          <w:tcPr>
            <w:tcW w:w="10185" w:type="dxa"/>
            <w:gridSpan w:val="4"/>
            <w:tcBorders>
              <w:top w:val="single" w:sz="24" w:space="0" w:color="043C64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62626"/>
                <w:sz w:val="24"/>
                <w:szCs w:val="24"/>
              </w:rPr>
              <w:t>{referencias}</w:t>
            </w: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both"/>
              <w:rPr>
                <w:rFonts w:ascii="Calibri" w:eastAsia="Calibri" w:hAnsi="Calibri" w:cs="Calibri"/>
                <w:color w:val="262626"/>
                <w:sz w:val="24"/>
                <w:szCs w:val="24"/>
              </w:rPr>
            </w:pPr>
          </w:p>
        </w:tc>
      </w:tr>
    </w:tbl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0E4934" w:rsidRDefault="000E4934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color w:val="262626"/>
          <w:sz w:val="26"/>
          <w:szCs w:val="26"/>
        </w:rPr>
      </w:pPr>
    </w:p>
    <w:tbl>
      <w:tblPr>
        <w:tblStyle w:val="a8"/>
        <w:tblW w:w="10170" w:type="dxa"/>
        <w:tblInd w:w="-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70"/>
      </w:tblGrid>
      <w:tr w:rsidR="00685895">
        <w:trPr>
          <w:trHeight w:val="506"/>
        </w:trPr>
        <w:tc>
          <w:tcPr>
            <w:tcW w:w="10170" w:type="dxa"/>
            <w:tcBorders>
              <w:top w:val="single" w:sz="4" w:space="0" w:color="043C64"/>
              <w:left w:val="single" w:sz="4" w:space="0" w:color="043C64"/>
              <w:bottom w:val="single" w:sz="4" w:space="0" w:color="FFFFFF"/>
              <w:right w:val="single" w:sz="4" w:space="0" w:color="043C64"/>
            </w:tcBorders>
            <w:shd w:val="clear" w:color="auto" w:fill="043C64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85895" w:rsidRDefault="008E4CAC">
            <w:pPr>
              <w:pStyle w:val="Ttulo1"/>
              <w:spacing w:before="20" w:after="20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bookmarkStart w:id="8" w:name="_zfy2iuy1adz0" w:colFirst="0" w:colLast="0"/>
            <w:bookmarkEnd w:id="8"/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6. Checklist Requerimientos de Seguridad Web</w:t>
            </w:r>
          </w:p>
        </w:tc>
      </w:tr>
    </w:tbl>
    <w:p w:rsidR="00685895" w:rsidRDefault="00685895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b/>
          <w:color w:val="262626"/>
          <w:sz w:val="10"/>
          <w:szCs w:val="10"/>
        </w:rPr>
      </w:pPr>
    </w:p>
    <w:p w:rsidR="00685895" w:rsidRDefault="008E4CAC">
      <w:pPr>
        <w:pStyle w:val="normal0"/>
        <w:widowControl w:val="0"/>
        <w:spacing w:line="240" w:lineRule="auto"/>
        <w:ind w:left="-566" w:right="-607" w:firstLine="566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En este apartado se detalla un checklist de requerimientos que contempla los principales controles y buenas prácticas que deben ser evaluados para garantizar un entorno seguro y robusto frente a posibles amenazas. </w:t>
      </w:r>
    </w:p>
    <w:p w:rsidR="00685895" w:rsidRDefault="00685895">
      <w:pPr>
        <w:pStyle w:val="normal0"/>
        <w:widowControl w:val="0"/>
        <w:spacing w:line="240" w:lineRule="auto"/>
        <w:ind w:left="-566" w:right="-607" w:firstLine="566"/>
        <w:jc w:val="both"/>
        <w:rPr>
          <w:rFonts w:ascii="Calibri" w:eastAsia="Calibri" w:hAnsi="Calibri" w:cs="Calibri"/>
          <w:color w:val="262626"/>
          <w:sz w:val="24"/>
          <w:szCs w:val="24"/>
        </w:rPr>
      </w:pPr>
    </w:p>
    <w:p w:rsidR="00685895" w:rsidRDefault="008E4CAC">
      <w:pPr>
        <w:pStyle w:val="normal0"/>
        <w:widowControl w:val="0"/>
        <w:spacing w:line="240" w:lineRule="auto"/>
        <w:ind w:left="-566" w:right="-607"/>
        <w:jc w:val="both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Se estructura en categorías clave que cubren aspectos críticos de la aplicación, tales como el control de acceso y autenticación, la gestión de sesiones y cookies, la configuración adecuada de cabeceras HTTP, el manejo seguro de transacciones y entradas de datos, así como mecanismos de protección activa.</w:t>
      </w:r>
    </w:p>
    <w:p w:rsidR="00685895" w:rsidRDefault="00685895">
      <w:pPr>
        <w:pStyle w:val="normal0"/>
        <w:widowControl w:val="0"/>
        <w:tabs>
          <w:tab w:val="center" w:pos="4252"/>
          <w:tab w:val="right" w:pos="8504"/>
        </w:tabs>
        <w:spacing w:line="240" w:lineRule="auto"/>
        <w:ind w:left="-566" w:right="-607"/>
        <w:rPr>
          <w:rFonts w:ascii="Calibri" w:eastAsia="Calibri" w:hAnsi="Calibri" w:cs="Calibri"/>
          <w:b/>
          <w:color w:val="262626"/>
          <w:sz w:val="24"/>
          <w:szCs w:val="24"/>
        </w:rPr>
      </w:pPr>
    </w:p>
    <w:tbl>
      <w:tblPr>
        <w:tblStyle w:val="a9"/>
        <w:tblW w:w="10185" w:type="dxa"/>
        <w:tblInd w:w="-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5"/>
        <w:gridCol w:w="1635"/>
        <w:gridCol w:w="6105"/>
        <w:gridCol w:w="1020"/>
        <w:gridCol w:w="1050"/>
      </w:tblGrid>
      <w:tr w:rsidR="00685895">
        <w:trPr>
          <w:trHeight w:val="552"/>
        </w:trPr>
        <w:tc>
          <w:tcPr>
            <w:tcW w:w="375" w:type="dxa"/>
            <w:tcBorders>
              <w:top w:val="single" w:sz="4" w:space="0" w:color="FFFFFF"/>
              <w:left w:val="single" w:sz="4" w:space="0" w:color="043C64"/>
              <w:bottom w:val="single" w:sz="4" w:space="0" w:color="FFFFFF"/>
              <w:right w:val="single" w:sz="4" w:space="0" w:color="FFFFFF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hd w:val="clear" w:color="auto" w:fill="043C64"/>
              </w:rPr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043C64"/>
              </w:rPr>
              <w:t>#</w:t>
            </w:r>
          </w:p>
        </w:tc>
        <w:tc>
          <w:tcPr>
            <w:tcW w:w="1635" w:type="dxa"/>
            <w:tcBorders>
              <w:top w:val="single" w:sz="4" w:space="0" w:color="FFFFFF"/>
              <w:left w:val="single" w:sz="4" w:space="0" w:color="FFFFFF"/>
              <w:bottom w:val="single" w:sz="8" w:space="0" w:color="D9D9D9"/>
              <w:right w:val="single" w:sz="4" w:space="0" w:color="FFFFFF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Tipo</w:t>
            </w:r>
          </w:p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Requerimiento</w:t>
            </w:r>
          </w:p>
        </w:tc>
        <w:tc>
          <w:tcPr>
            <w:tcW w:w="6105" w:type="dxa"/>
            <w:tcBorders>
              <w:top w:val="single" w:sz="4" w:space="0" w:color="FFFFFF"/>
              <w:left w:val="single" w:sz="4" w:space="0" w:color="FFFFFF"/>
              <w:bottom w:val="single" w:sz="8" w:space="0" w:color="043C64"/>
              <w:right w:val="single" w:sz="4" w:space="0" w:color="043C64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Requisito de Seguridad</w:t>
            </w:r>
          </w:p>
        </w:tc>
        <w:tc>
          <w:tcPr>
            <w:tcW w:w="1020" w:type="dxa"/>
            <w:tcBorders>
              <w:top w:val="single" w:sz="4" w:space="0" w:color="FFFFFF"/>
              <w:left w:val="single" w:sz="4" w:space="0" w:color="FFFFFF"/>
              <w:bottom w:val="single" w:sz="8" w:space="0" w:color="043C64"/>
              <w:right w:val="single" w:sz="4" w:space="0" w:color="FFFFFF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Cumple</w:t>
            </w:r>
          </w:p>
        </w:tc>
        <w:tc>
          <w:tcPr>
            <w:tcW w:w="1050" w:type="dxa"/>
            <w:tcBorders>
              <w:top w:val="single" w:sz="4" w:space="0" w:color="FFFFFF"/>
              <w:left w:val="single" w:sz="4" w:space="0" w:color="FFFFFF"/>
              <w:bottom w:val="single" w:sz="8" w:space="0" w:color="043C64"/>
              <w:right w:val="single" w:sz="4" w:space="0" w:color="043C64"/>
            </w:tcBorders>
            <w:shd w:val="clear" w:color="auto" w:fill="043C64"/>
            <w:vAlign w:val="center"/>
          </w:tcPr>
          <w:p w:rsidR="00685895" w:rsidRDefault="008E4CAC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Criticidad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FFFFFF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</w:t>
            </w:r>
          </w:p>
        </w:tc>
        <w:tc>
          <w:tcPr>
            <w:tcW w:w="1635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Control de acceso y autenticación</w:t>
            </w: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CCCCCC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total para todos los recursos/páginas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BF9000"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FFFFFF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CCCCCC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necesario estar autenticado para acceder a cada uno de los recursos y/o página de la plataforma.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Doble verificación para el registro o alta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E69138"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44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solicita un código OTP en el primer inicio de sesión tras el registro de un nuevo usuario.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Política de complejidad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rPr>
          <w:trHeight w:val="18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política de contraseña establecida es: 5-8 caracteres de longitud, donde se debe incluir como mínimo  una letra mayúscula, una letra minúscula y  un número.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Renovación periódica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E69138"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47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hay un mecanismo para la renovación periódica de contraseñas.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5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Multifactor opcional para cuentas de usuarios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39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autenticación multifactor para el inicio de sesión de los usuarios en la plataforma.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Multifactor para cuentas administrador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Crítica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autenticación multifactor para el inicio de sesión de los administradores en la plataforma.</w:t>
            </w:r>
          </w:p>
        </w:tc>
      </w:tr>
      <w:tr w:rsidR="00685895">
        <w:trPr>
          <w:trHeight w:val="630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Autenticación Multifactor en zonas con información sensible o datos bancarios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Crítica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transferencias, reseteo. consulta. 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8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Mecanismo Captcha para la autenticación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caso de introducir incorrectamente la contraseña, en el siguiente inicio de sesión se solicita completar un mecanismo captcha.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9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Mecanismo Captcha para el registro/alta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38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registro debe validarse mediante el envío de un código OTP. 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Bloqueo de cuenta tras intentos fallidos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B10202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comprobado que tras varios intentos fallidos de autenticación, la cuenta de usuario es bloqueada.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11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Función de recordatorio/olvido de contraseña válido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262626"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mecanismo de reseteo de contraseña es lo suficientemente seguro, incluyendo un </w:t>
            </w:r>
            <w:r>
              <w:rPr>
                <w:rFonts w:ascii="Calibri" w:eastAsia="Calibri" w:hAnsi="Calibri" w:cs="Calibri"/>
              </w:rPr>
              <w:lastRenderedPageBreak/>
              <w:t>mecanismo multifactor de autenticación OTP para validar la acción.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12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Doble verificación para el cambio/reseteo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solicita un código OTP para validar el cambio/reseteo de contraseña.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 temporal o link temporal para el cambio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N/A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aplica. El cambio de contraseña se lleva a cabo en el mismo portal de Sección de Crédito tras ser validado por el código OTP.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Histórico de 3 o más contraseñas para el cambio/reseteo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Únicamente te prohíbe establecer la misma contraseña igual a la última. 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15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Respuestas de error genéricas en la autenticación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La respuesta de error tras un intento de inicio de sesión fallido es genérica. </w:t>
            </w:r>
            <w:r>
              <w:rPr>
                <w:rFonts w:ascii="Calibri" w:eastAsia="Calibri" w:hAnsi="Calibri" w:cs="Calibri"/>
                <w:i/>
              </w:rPr>
              <w:t>“La autenticación ha fallado. Por favor inténtelo otra vez”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Respuestas de error genéricas en el servicio de cambio de contraseña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12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Almacenamiento y cifrado seguro de contraseñas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18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 de eventos de seguridad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36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19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685895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Gestión de sesión y cookies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cierre de sesión termina con la sesión/conexión asociada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comprobado que el cierre de sesión se completa correctamente y la sesión se destruye.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Tiempo de vida de sesión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21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Cierre de sesión automático tras expiración de sesión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18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22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Generación de nuevos identificadores por sesión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Tokens CSRF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50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[VULN-03].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información sensible o confidencial en cookies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25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Cookies con atributo Secure configurado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47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[VULN-04].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Cookies con atributo HttpOnly configurado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Cookies con attribute SameSite Flag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48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36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[VULN-05].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28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Gestión y configuración de cabeceras HTTP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Strict Transport Security (HSTS)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29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X-XSS-Protection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10202"/>
                <w:sz w:val="20"/>
                <w:szCs w:val="20"/>
              </w:rPr>
              <w:t>NO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detalla en la vulnerabilidad [VULN-01]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X-Content-Type-Options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31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X-Frame-Options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32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Security Policy (CSP)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rPr>
          <w:trHeight w:val="30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lastRenderedPageBreak/>
              <w:t>33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Cache Control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34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Cross-Origin-Resource-Policy (CORP)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36" w:space="0" w:color="CCCCCC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36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35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Transacción y entrada de datos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Protocolo HTTPS TLS seguro (TLSv1.3 o TLSv1.2)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Alta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https://www.ssllabs.com/analyze.html?d=sdc30.cofares.es&amp;latest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36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Certificado SSL válido y bien configurado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calificación otorgada por el escaner ssllabs es de A+.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37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 de entrada de datos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552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Parcialmente. Revisar vulnerabilidad [VULN-01]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38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 de subida/carga de ficheros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N/C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47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existe la carga o subida de ficheros a la plataforma.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  <w:shd w:val="clear" w:color="auto" w:fill="043C64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  <w:t>39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Mensaje de error tras la entrada de datos ilegítimas o malformadas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BF9000"/>
                <w:sz w:val="20"/>
                <w:szCs w:val="20"/>
              </w:rPr>
              <w:t>Baja</w:t>
            </w:r>
          </w:p>
        </w:tc>
      </w:tr>
      <w:tr w:rsidR="00685895"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sz w:val="20"/>
                <w:szCs w:val="20"/>
                <w:shd w:val="clear" w:color="auto" w:fill="043C64"/>
              </w:rPr>
            </w:pPr>
            <w:r>
              <w:rPr>
                <w:color w:val="FFFFFF"/>
                <w:sz w:val="20"/>
                <w:szCs w:val="20"/>
                <w:shd w:val="clear" w:color="auto" w:fill="043C64"/>
              </w:rPr>
              <w:t>40</w:t>
            </w: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05" w:type="dxa"/>
            <w:tcBorders>
              <w:top w:val="single" w:sz="8" w:space="0" w:color="043C64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Límite de transacciones/peticiones en un periodo de tiempo</w:t>
            </w:r>
          </w:p>
        </w:tc>
        <w:tc>
          <w:tcPr>
            <w:tcW w:w="102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8" w:space="0" w:color="043C64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563"/>
        </w:trPr>
        <w:tc>
          <w:tcPr>
            <w:tcW w:w="375" w:type="dxa"/>
            <w:vMerge/>
            <w:tcBorders>
              <w:top w:val="single" w:sz="8" w:space="0" w:color="CCCCCC"/>
              <w:left w:val="single" w:sz="8" w:space="0" w:color="043C64"/>
              <w:bottom w:val="single" w:sz="8" w:space="0" w:color="FFFFFF"/>
              <w:right w:val="single" w:sz="8" w:space="0" w:color="FFFFFF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posible configurar un límite de transacciones web por usuario.</w:t>
            </w:r>
          </w:p>
        </w:tc>
      </w:tr>
      <w:tr w:rsidR="00685895">
        <w:trPr>
          <w:trHeight w:val="552"/>
        </w:trPr>
        <w:tc>
          <w:tcPr>
            <w:tcW w:w="375" w:type="dxa"/>
            <w:vMerge w:val="restart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sz w:val="20"/>
                <w:szCs w:val="20"/>
                <w:shd w:val="clear" w:color="auto" w:fill="043C64"/>
              </w:rPr>
            </w:pPr>
            <w:r>
              <w:rPr>
                <w:color w:val="FFFFFF"/>
                <w:sz w:val="20"/>
                <w:szCs w:val="20"/>
                <w:shd w:val="clear" w:color="auto" w:fill="043C64"/>
              </w:rPr>
              <w:t>42</w:t>
            </w:r>
          </w:p>
        </w:tc>
        <w:tc>
          <w:tcPr>
            <w:tcW w:w="1635" w:type="dxa"/>
            <w:vMerge w:val="restart"/>
            <w:tcBorders>
              <w:top w:val="single" w:sz="36" w:space="0" w:color="D9D9D9"/>
              <w:left w:val="single" w:sz="8" w:space="0" w:color="D9D9D9"/>
              <w:bottom w:val="single" w:sz="8" w:space="0" w:color="D9D9D9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Protección Activa</w:t>
            </w:r>
          </w:p>
        </w:tc>
        <w:tc>
          <w:tcPr>
            <w:tcW w:w="6105" w:type="dxa"/>
            <w:tcBorders>
              <w:top w:val="single" w:sz="36" w:space="0" w:color="D9D9D9"/>
              <w:left w:val="single" w:sz="8" w:space="0" w:color="043C64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Protección WAF</w:t>
            </w:r>
          </w:p>
        </w:tc>
        <w:tc>
          <w:tcPr>
            <w:tcW w:w="102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1734B"/>
                <w:sz w:val="20"/>
                <w:szCs w:val="20"/>
              </w:rPr>
              <w:t>SI</w:t>
            </w:r>
          </w:p>
        </w:tc>
        <w:tc>
          <w:tcPr>
            <w:tcW w:w="1050" w:type="dxa"/>
            <w:tcBorders>
              <w:top w:val="single" w:sz="36" w:space="0" w:color="CCCCCC"/>
              <w:left w:val="single" w:sz="8" w:space="0" w:color="CCCCCC"/>
              <w:bottom w:val="single" w:sz="8" w:space="0" w:color="CCCCCC"/>
              <w:right w:val="single" w:sz="8" w:space="0" w:color="043C64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8E4CAC">
            <w:pPr>
              <w:pStyle w:val="normal0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E69138"/>
                <w:sz w:val="20"/>
                <w:szCs w:val="20"/>
              </w:rPr>
              <w:t>Media</w:t>
            </w:r>
          </w:p>
        </w:tc>
      </w:tr>
      <w:tr w:rsidR="00685895">
        <w:trPr>
          <w:trHeight w:val="195"/>
        </w:trPr>
        <w:tc>
          <w:tcPr>
            <w:tcW w:w="375" w:type="dxa"/>
            <w:vMerge/>
            <w:tcBorders>
              <w:top w:val="single" w:sz="8" w:space="0" w:color="D9D9D9"/>
              <w:left w:val="single" w:sz="8" w:space="0" w:color="043C64"/>
              <w:bottom w:val="single" w:sz="8" w:space="0" w:color="043C63"/>
              <w:right w:val="single" w:sz="8" w:space="0" w:color="D9D9D9"/>
            </w:tcBorders>
            <w:shd w:val="clear" w:color="auto" w:fill="043C6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val="clear" w:color="auto" w:fill="043C64"/>
              </w:rPr>
            </w:pPr>
          </w:p>
        </w:tc>
        <w:tc>
          <w:tcPr>
            <w:tcW w:w="1635" w:type="dxa"/>
            <w:vMerge/>
            <w:tcBorders>
              <w:top w:val="single" w:sz="36" w:space="0" w:color="D9D9D9"/>
              <w:left w:val="single" w:sz="8" w:space="0" w:color="D9D9D9"/>
              <w:bottom w:val="single" w:sz="8" w:space="0" w:color="043C63"/>
              <w:right w:val="single" w:sz="8" w:space="0" w:color="043C64"/>
            </w:tcBorders>
            <w:shd w:val="clear" w:color="auto" w:fill="14D5A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175" w:type="dxa"/>
            <w:gridSpan w:val="3"/>
            <w:tcBorders>
              <w:top w:val="single" w:sz="8" w:space="0" w:color="D9D9D9"/>
              <w:left w:val="single" w:sz="8" w:space="0" w:color="043C64"/>
              <w:bottom w:val="single" w:sz="8" w:space="0" w:color="043C64"/>
              <w:right w:val="single" w:sz="8" w:space="0" w:color="D9D9D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5895" w:rsidRDefault="00685895">
            <w:pPr>
              <w:pStyle w:val="normal0"/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685895" w:rsidRDefault="00685895">
      <w:pPr>
        <w:pStyle w:val="normal0"/>
      </w:pPr>
    </w:p>
    <w:sectPr w:rsidR="00685895" w:rsidSect="00685895">
      <w:headerReference w:type="default" r:id="rId12"/>
      <w:footerReference w:type="default" r:id="rId13"/>
      <w:pgSz w:w="11909" w:h="16834"/>
      <w:pgMar w:top="1440" w:right="1440" w:bottom="1440" w:left="1440" w:header="566" w:footer="36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C55" w:rsidRDefault="00760C55" w:rsidP="00685895">
      <w:pPr>
        <w:spacing w:line="240" w:lineRule="auto"/>
      </w:pPr>
      <w:r>
        <w:separator/>
      </w:r>
    </w:p>
  </w:endnote>
  <w:endnote w:type="continuationSeparator" w:id="0">
    <w:p w:rsidR="00760C55" w:rsidRDefault="00760C55" w:rsidP="00685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895" w:rsidRDefault="00C62BAB">
    <w:pPr>
      <w:pStyle w:val="normal0"/>
      <w:jc w:val="right"/>
      <w:rPr>
        <w:rFonts w:ascii="Calibri" w:eastAsia="Calibri" w:hAnsi="Calibri" w:cs="Calibri"/>
        <w:b/>
        <w:color w:val="262626"/>
      </w:rPr>
    </w:pPr>
    <w:r>
      <w:rPr>
        <w:color w:val="262626"/>
      </w:rPr>
      <w:fldChar w:fldCharType="begin"/>
    </w:r>
    <w:r w:rsidR="008E4CAC">
      <w:rPr>
        <w:color w:val="262626"/>
      </w:rPr>
      <w:instrText>PAGE</w:instrText>
    </w:r>
    <w:r>
      <w:rPr>
        <w:color w:val="262626"/>
      </w:rPr>
      <w:fldChar w:fldCharType="separate"/>
    </w:r>
    <w:r w:rsidR="003A52A4">
      <w:rPr>
        <w:noProof/>
        <w:color w:val="262626"/>
      </w:rPr>
      <w:t>5</w:t>
    </w:r>
    <w:r>
      <w:rPr>
        <w:color w:val="262626"/>
      </w:rPr>
      <w:fldChar w:fldCharType="end"/>
    </w:r>
  </w:p>
  <w:p w:rsidR="00685895" w:rsidRDefault="00685895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C55" w:rsidRDefault="00760C55" w:rsidP="00685895">
      <w:pPr>
        <w:spacing w:line="240" w:lineRule="auto"/>
      </w:pPr>
      <w:r>
        <w:separator/>
      </w:r>
    </w:p>
  </w:footnote>
  <w:footnote w:type="continuationSeparator" w:id="0">
    <w:p w:rsidR="00760C55" w:rsidRDefault="00760C55" w:rsidP="006858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895" w:rsidRDefault="00685895">
    <w:pPr>
      <w:pStyle w:val="normal0"/>
      <w:widowControl w:val="0"/>
      <w:rPr>
        <w:rFonts w:ascii="Calibri" w:eastAsia="Calibri" w:hAnsi="Calibri" w:cs="Calibri"/>
        <w:sz w:val="24"/>
        <w:szCs w:val="24"/>
      </w:rPr>
    </w:pPr>
  </w:p>
  <w:tbl>
    <w:tblPr>
      <w:tblStyle w:val="aa"/>
      <w:tblW w:w="10200" w:type="dxa"/>
      <w:jc w:val="center"/>
      <w:tblInd w:w="0" w:type="dxa"/>
      <w:tblBorders>
        <w:top w:val="single" w:sz="4" w:space="0" w:color="F3F3F3"/>
        <w:left w:val="single" w:sz="4" w:space="0" w:color="F3F3F3"/>
        <w:bottom w:val="single" w:sz="4" w:space="0" w:color="F3F3F3"/>
        <w:right w:val="single" w:sz="4" w:space="0" w:color="F3F3F3"/>
        <w:insideH w:val="single" w:sz="4" w:space="0" w:color="F3F3F3"/>
        <w:insideV w:val="single" w:sz="4" w:space="0" w:color="F3F3F3"/>
      </w:tblBorders>
      <w:tblLayout w:type="fixed"/>
      <w:tblLook w:val="0000"/>
    </w:tblPr>
    <w:tblGrid>
      <w:gridCol w:w="1695"/>
      <w:gridCol w:w="3390"/>
      <w:gridCol w:w="2880"/>
      <w:gridCol w:w="2235"/>
    </w:tblGrid>
    <w:tr w:rsidR="00685895">
      <w:trPr>
        <w:trHeight w:val="515"/>
        <w:jc w:val="center"/>
      </w:trPr>
      <w:tc>
        <w:tcPr>
          <w:tcW w:w="1695" w:type="dxa"/>
          <w:vMerge w:val="restart"/>
          <w:shd w:val="clear" w:color="auto" w:fill="043C64"/>
        </w:tcPr>
        <w:p w:rsidR="00685895" w:rsidRDefault="008E4CAC">
          <w:pPr>
            <w:pStyle w:val="normal0"/>
            <w:widowControl w:val="0"/>
            <w:spacing w:line="240" w:lineRule="auto"/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971686" cy="885949"/>
                <wp:effectExtent l="0" t="0" r="0" b="0"/>
                <wp:wrapNone/>
                <wp:docPr id="4" name="image2.png" descr="Captur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aptura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686" cy="8859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05" w:type="dxa"/>
          <w:gridSpan w:val="3"/>
          <w:shd w:val="clear" w:color="auto" w:fill="043C64"/>
          <w:vAlign w:val="center"/>
        </w:tcPr>
        <w:p w:rsidR="00685895" w:rsidRDefault="008E4CAC">
          <w:pPr>
            <w:pStyle w:val="normal0"/>
            <w:widowControl w:val="0"/>
            <w:spacing w:before="44" w:line="240" w:lineRule="auto"/>
            <w:ind w:right="2281"/>
            <w:jc w:val="center"/>
            <w:rPr>
              <w:rFonts w:ascii="Calibri" w:eastAsia="Calibri" w:hAnsi="Calibri" w:cs="Calibri"/>
              <w:b/>
              <w:color w:val="FFFFFF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FFFFFF"/>
              <w:sz w:val="32"/>
              <w:szCs w:val="32"/>
            </w:rPr>
            <w:t xml:space="preserve">                 Ciberseguridad y Redes</w:t>
          </w:r>
        </w:p>
      </w:tc>
    </w:tr>
    <w:tr w:rsidR="00685895">
      <w:trPr>
        <w:trHeight w:val="500"/>
        <w:jc w:val="center"/>
      </w:trPr>
      <w:tc>
        <w:tcPr>
          <w:tcW w:w="1695" w:type="dxa"/>
          <w:vMerge/>
          <w:shd w:val="clear" w:color="auto" w:fill="043C64"/>
        </w:tcPr>
        <w:p w:rsidR="00685895" w:rsidRDefault="00685895">
          <w:pPr>
            <w:pStyle w:val="normal0"/>
            <w:widowControl w:val="0"/>
            <w:rPr>
              <w:rFonts w:ascii="Calibri" w:eastAsia="Calibri" w:hAnsi="Calibri" w:cs="Calibri"/>
              <w:b/>
              <w:sz w:val="32"/>
              <w:szCs w:val="32"/>
            </w:rPr>
          </w:pPr>
        </w:p>
      </w:tc>
      <w:tc>
        <w:tcPr>
          <w:tcW w:w="6270" w:type="dxa"/>
          <w:gridSpan w:val="2"/>
          <w:shd w:val="clear" w:color="auto" w:fill="043C64"/>
        </w:tcPr>
        <w:p w:rsidR="00685895" w:rsidRDefault="008E4CAC" w:rsidP="0078336C">
          <w:pPr>
            <w:pStyle w:val="normal0"/>
            <w:widowControl w:val="0"/>
            <w:spacing w:before="84" w:line="240" w:lineRule="auto"/>
            <w:jc w:val="center"/>
            <w:rPr>
              <w:rFonts w:ascii="Calibri" w:eastAsia="Calibri" w:hAnsi="Calibri" w:cs="Calibri"/>
              <w:color w:val="FFFFFF"/>
              <w:sz w:val="28"/>
              <w:szCs w:val="28"/>
            </w:rPr>
          </w:pPr>
          <w:r>
            <w:rPr>
              <w:rFonts w:ascii="Calibri" w:eastAsia="Calibri" w:hAnsi="Calibri" w:cs="Calibri"/>
              <w:color w:val="FFFFFF"/>
              <w:sz w:val="28"/>
              <w:szCs w:val="28"/>
            </w:rPr>
            <w:t xml:space="preserve">Informe de Auditoría de Seguridad </w:t>
          </w:r>
          <w:r w:rsidR="0078336C">
            <w:rPr>
              <w:rFonts w:ascii="Calibri" w:eastAsia="Calibri" w:hAnsi="Calibri" w:cs="Calibri"/>
              <w:color w:val="FFFFFF"/>
              <w:sz w:val="28"/>
              <w:szCs w:val="28"/>
            </w:rPr>
            <w:t>{nombre-url}</w:t>
          </w:r>
        </w:p>
      </w:tc>
      <w:tc>
        <w:tcPr>
          <w:tcW w:w="2235" w:type="dxa"/>
          <w:vMerge w:val="restart"/>
          <w:shd w:val="clear" w:color="auto" w:fill="043C64"/>
          <w:vAlign w:val="center"/>
        </w:tcPr>
        <w:p w:rsidR="00685895" w:rsidRDefault="008E4CAC">
          <w:pPr>
            <w:pStyle w:val="normal0"/>
            <w:widowControl w:val="0"/>
            <w:spacing w:before="84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>Clasificación</w:t>
          </w:r>
        </w:p>
        <w:p w:rsidR="00685895" w:rsidRDefault="008E4CAC">
          <w:pPr>
            <w:pStyle w:val="normal0"/>
            <w:widowControl w:val="0"/>
            <w:spacing w:before="84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>RESERVADA</w:t>
          </w:r>
        </w:p>
      </w:tc>
    </w:tr>
    <w:tr w:rsidR="00685895">
      <w:trPr>
        <w:trHeight w:val="387"/>
        <w:jc w:val="center"/>
      </w:trPr>
      <w:tc>
        <w:tcPr>
          <w:tcW w:w="1695" w:type="dxa"/>
          <w:vMerge/>
          <w:shd w:val="clear" w:color="auto" w:fill="043C64"/>
        </w:tcPr>
        <w:p w:rsidR="00685895" w:rsidRDefault="00685895">
          <w:pPr>
            <w:pStyle w:val="normal0"/>
            <w:widowControl w:val="0"/>
          </w:pPr>
        </w:p>
      </w:tc>
      <w:tc>
        <w:tcPr>
          <w:tcW w:w="3390" w:type="dxa"/>
          <w:shd w:val="clear" w:color="auto" w:fill="043C64"/>
        </w:tcPr>
        <w:p w:rsidR="00685895" w:rsidRDefault="008E4CAC">
          <w:pPr>
            <w:pStyle w:val="normal0"/>
            <w:widowControl w:val="0"/>
            <w:spacing w:before="86" w:line="240" w:lineRule="auto"/>
            <w:ind w:left="122"/>
            <w:jc w:val="center"/>
            <w:rPr>
              <w:color w:val="FFFFFF"/>
            </w:rPr>
          </w:pPr>
          <w:r>
            <w:rPr>
              <w:color w:val="FFFFFF"/>
            </w:rPr>
            <w:t>Edición: 1.1</w:t>
          </w:r>
        </w:p>
      </w:tc>
      <w:tc>
        <w:tcPr>
          <w:tcW w:w="2880" w:type="dxa"/>
          <w:shd w:val="clear" w:color="auto" w:fill="043C64"/>
        </w:tcPr>
        <w:p w:rsidR="00685895" w:rsidRDefault="008E4CAC" w:rsidP="0078336C">
          <w:pPr>
            <w:pStyle w:val="normal0"/>
            <w:widowControl w:val="0"/>
            <w:spacing w:before="86" w:line="240" w:lineRule="auto"/>
            <w:ind w:left="123"/>
            <w:jc w:val="center"/>
            <w:rPr>
              <w:color w:val="FFFFFF"/>
            </w:rPr>
          </w:pPr>
          <w:r>
            <w:rPr>
              <w:color w:val="FFFFFF"/>
            </w:rPr>
            <w:t xml:space="preserve">Fecha: </w:t>
          </w:r>
          <w:r w:rsidR="0078336C">
            <w:rPr>
              <w:color w:val="FFFFFF"/>
            </w:rPr>
            <w:t>{date}</w:t>
          </w:r>
        </w:p>
      </w:tc>
      <w:tc>
        <w:tcPr>
          <w:tcW w:w="2235" w:type="dxa"/>
          <w:vMerge/>
          <w:shd w:val="clear" w:color="auto" w:fill="043C64"/>
          <w:vAlign w:val="center"/>
        </w:tcPr>
        <w:p w:rsidR="00685895" w:rsidRDefault="00685895">
          <w:pPr>
            <w:pStyle w:val="normal0"/>
            <w:widowControl w:val="0"/>
          </w:pPr>
        </w:p>
      </w:tc>
    </w:tr>
  </w:tbl>
  <w:p w:rsidR="00685895" w:rsidRDefault="00685895">
    <w:pPr>
      <w:pStyle w:val="normal0"/>
      <w:widowControl w:val="0"/>
      <w:tabs>
        <w:tab w:val="center" w:pos="4252"/>
        <w:tab w:val="right" w:pos="8504"/>
      </w:tabs>
      <w:spacing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895"/>
    <w:rsid w:val="000E4934"/>
    <w:rsid w:val="00196539"/>
    <w:rsid w:val="001A1B23"/>
    <w:rsid w:val="001A6A63"/>
    <w:rsid w:val="0028719D"/>
    <w:rsid w:val="003A52A4"/>
    <w:rsid w:val="004242B3"/>
    <w:rsid w:val="00467175"/>
    <w:rsid w:val="00480D42"/>
    <w:rsid w:val="00533A0E"/>
    <w:rsid w:val="006113B0"/>
    <w:rsid w:val="006445F7"/>
    <w:rsid w:val="00685895"/>
    <w:rsid w:val="007272F2"/>
    <w:rsid w:val="00760C55"/>
    <w:rsid w:val="0078336C"/>
    <w:rsid w:val="007D7A6E"/>
    <w:rsid w:val="007E3066"/>
    <w:rsid w:val="008E4CAC"/>
    <w:rsid w:val="009A31AA"/>
    <w:rsid w:val="00BC0C19"/>
    <w:rsid w:val="00C243E0"/>
    <w:rsid w:val="00C62BAB"/>
    <w:rsid w:val="00CC295C"/>
    <w:rsid w:val="00CC48C3"/>
    <w:rsid w:val="00D01761"/>
    <w:rsid w:val="00DF6552"/>
    <w:rsid w:val="00EA1544"/>
    <w:rsid w:val="00F13D15"/>
    <w:rsid w:val="00F4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C19"/>
  </w:style>
  <w:style w:type="paragraph" w:styleId="Ttulo1">
    <w:name w:val="heading 1"/>
    <w:basedOn w:val="normal0"/>
    <w:next w:val="normal0"/>
    <w:rsid w:val="00685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85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85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85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85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85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85895"/>
  </w:style>
  <w:style w:type="table" w:customStyle="1" w:styleId="TableNormal">
    <w:name w:val="Table Normal"/>
    <w:rsid w:val="00685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85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85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0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1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2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4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5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85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9">
    <w:basedOn w:val="TableNormal"/>
    <w:rsid w:val="00685895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a">
    <w:basedOn w:val="TableNormal"/>
    <w:rsid w:val="0068589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3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3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8336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336C"/>
  </w:style>
  <w:style w:type="paragraph" w:styleId="Piedepgina">
    <w:name w:val="footer"/>
    <w:basedOn w:val="Normal"/>
    <w:link w:val="PiedepginaCar"/>
    <w:uiPriority w:val="99"/>
    <w:semiHidden/>
    <w:unhideWhenUsed/>
    <w:rsid w:val="0078336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33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F617-6BD5-4CBB-8355-60F2C3ED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gizquierdog</cp:lastModifiedBy>
  <cp:revision>12</cp:revision>
  <dcterms:created xsi:type="dcterms:W3CDTF">2025-03-14T12:13:00Z</dcterms:created>
  <dcterms:modified xsi:type="dcterms:W3CDTF">2025-03-31T10:51:00Z</dcterms:modified>
</cp:coreProperties>
</file>