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学位论文评审意见修改说明</w:t>
      </w:r>
    </w:p>
    <w:p>
      <w:pPr>
        <w:spacing w:after="60"/>
        <w:jc w:val="center"/>
      </w:pPr>
      <w:r>
        <w:rPr>
          <w:rFonts w:ascii="SimSun" w:cs="SimSun" w:eastAsia="SimSun" w:hAnsi="SimSun"/>
          <w:sz w:val="24"/>
          <w:szCs w:val="24"/>
        </w:rPr>
        <w:t xml:space="preserve">论文题目：多用户多关键词动态对称可搜索加密的可验证性研究</w:t>
      </w:r>
    </w:p>
    <w:p>
      <w:pPr>
        <w:spacing w:after="200"/>
        <w:jc w:val="center"/>
      </w:pPr>
      <w:r>
        <w:rPr>
          <w:rFonts w:ascii="SimSun" w:cs="SimSun" w:eastAsia="SimSun" w:hAnsi="SimSun"/>
          <w:sz w:val="24"/>
          <w:szCs w:val="24"/>
        </w:rPr>
        <w:t xml:space="preserve">感谢各位评审专家对本文的认真审阅和宝贵修改意见。针对评审意见，逐条修订说明如下。</w:t>
      </w:r>
    </w:p>
    <w:p>
      <w:pPr>
        <w:pStyle w:val="Heading2"/>
      </w:pPr>
      <w:r>
        <w:rPr>
          <w:b/>
          <w:bCs/>
        </w:rPr>
        <w:t xml:space="preserve">评审人 1 的意见及修改说明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1：</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论文提出的两种验证机制均基于默克尔树结构，虽然在验证效率上具有优势，但当数据规模显著增大或动态更新频繁时，默克尔树的维护与更新开销（如路径哈希的重计算）可能会成为系统性能瓶颈，论文对此类极端场景下的开销分析与优化讨论相对有限。</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已采纳。在第四章实验评估部分新增“大规模与高频更新场景下的开销讨论”小节（第4.3.4节），从三个方面进行了针对性分析：（1）对数增长特性：QTree路径重算开销为O(ℓ log M)，log M增长极缓慢，M从2²⁰增至2³⁰仅增加10层哈希运算，在实际可预见的数据规模下不构成性能瓶颈；（2）批量更新优化：同一批次的多条关系更新若涉及相同QTree路径，可合并路径重算以摊薄每条关系的实际哈希开销；（3）锚点签发解耦：授权管理方可将锚点签发周期与更新批次解耦，累积多轮更新后统一重建根哈希并签名分发，降低签名操作频次。上述优化策略均不影响方案的安全性保证。</w:t>
            </w:r>
          </w:p>
          <w:p>
            <w:pPr>
              <w:spacing w:after="100" w:line="360"/>
              <w:jc w:val="both"/>
            </w:pPr>
            <w:r>
              <w:rPr>
                <w:rFonts w:ascii="SimSun" w:cs="SimSun" w:eastAsia="SimSun" w:hAnsi="SimSun"/>
                <w:sz w:val="24"/>
                <w:szCs w:val="24"/>
              </w:rPr>
              <w:t xml:space="preserve">同时，在第五章局限性分析中新增第五项，明确指出高频更新场景下的批量优化策略尚未纳入当前协议设计，作为未来工作方向。</w:t>
            </w:r>
          </w:p>
        </w:tc>
      </w:tr>
    </w:tbl>
    <w:p>
      <w:pPr>
        <w:pBdr>
          <w:bottom w:val="single" w:color="CCCCCC" w:sz="4" w:space="4"/>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2：</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论文主要考虑了静态或半动态的多用户场景，对于用户频繁加入与退出、权限实时撤销等高度动态环境下的方案适配性及安全性保障机制探讨不够深入，例如用户撤销后的密钥更新与密文重加密问题未给出明确的解决方案。</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在第五章进行了两方面补充：（1）在局限性分析中新增第六项，明确指出本文方案对用户撤销采用被动式假设（被撤销用户无法获取新密钥材料），未涉及撤销后的主动式密钥更新与密文重加密机制，在用户频繁加入与退出的高度动态环境下方案的适配性有待进一步研究；（2）在未来工作展望中新增一段关于高度动态多用户场景的讨论，提出引入前向安全的密钥演化机制的技术路径，使每次撤销操作触发密钥材料的单向更新，在不重加密全部密文的前提下使历史令牌失效，并指出该方向需在密钥更新开销、撤销即时性与索引结构兼容性之间寻求平衡。</w:t>
            </w:r>
          </w:p>
        </w:tc>
      </w:tr>
    </w:tbl>
    <w:p>
      <w:pPr>
        <w:pBdr>
          <w:bottom w:val="single" w:color="CCCCCC" w:sz="4" w:space="4"/>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3：</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实验部分虽然验证了方案的可行性，但与同类可验证方案的对比实验不够充分，难以全面评估所提机制在不同维度上的综合优势与适用场景。</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在第四章实验评估部分新增“与同类可验证方案的对比讨论”小节（第4.3.5节），从以下方面进行了补充说明：（1）实验基线选择的合理性：Nomos是本文方案的直接基础协议，通过与Nomos对比可精确量化引入可验证性机制的边际开销；MC-ODXT与本文方案共享TSet/XSet双索引架构，适合作为协议层面的参照。（2）与VCDSSE、EVMK-SSE、Ji等方案难以进行公平实验对比的具体原因：目标场景不同（单用户vs.多用户）、查询类型不同（部分仅支持单关键词）、底层代数结构不同（如松弛OPRF vs.标准DH-OPRF）、部分实现代码未公开等。（3）引用第一章中已有的表1（代表性可验证SSE方案特性对比），作为从场景、动态性、隐私特征、查询类型与验证目标五个维度进行功能层面定性对比的补充。</w:t>
            </w:r>
          </w:p>
        </w:tc>
      </w:tr>
    </w:tbl>
    <w:p>
      <w:pPr>
        <w:pBdr>
          <w:bottom w:val="single" w:color="CCCCCC" w:sz="4" w:space="4"/>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4：</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行文描述存在几处较为拗口的地方，如第2页第17行“此类协议偏离行为虽未必直接破坏密文机密性，却从根本上损害了检索服务的可信性。”建议通读全文后润色。</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对评审指出的句子进行了修改，改为“此类协议偏离行为不一定破坏密文机密性，但会直接损害检索结果的可信性”。同时对第一章中类似的长句和从句嵌套进行了定向润色，包括：将“其一为……之间的矛盾”改为“其一是……之间的矛盾”；将“具有直接且深远的实用价值”改为“具有重要的实用价值”；将“该问题需从理论与应用两个层面加以审视”改为“该问题可从理论与应用两个层面分析”；精简了论文结构部分的冗余修饰语，删除了“深入阐述”“系统概述”“深入剖析”等不必要的程度副词，使行文更简洁流畅。</w:t>
            </w:r>
          </w:p>
        </w:tc>
      </w:tr>
    </w:tbl>
    <w:p>
      <w:r>
        <w:br w:type="page"/>
      </w:r>
    </w:p>
    <w:p>
      <w:pPr>
        <w:pStyle w:val="Heading2"/>
      </w:pPr>
      <w:r>
        <w:rPr>
          <w:b/>
          <w:bCs/>
        </w:rPr>
        <w:t xml:space="preserve">评审人 2 的意见及修改说明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1：</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在第10页2.1预备知识中，建议作者的密码学原语一定要从经典教科书中去引用，不要靠自己的理解去解释，避免丢失重要的条件，导致概念模糊不清。包括：PPT应给出英文全称；伪随机函数定义中“随机预言”用词不当；哈希函数抗碰撞性定义中碰撞类型不清晰且“对手”用词不规范；群G未指定乘法群还是加法群。</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已采纳。对第二章预备知识中全部密码学原语定义进行了逐项修订：（1）伪随机函数（PRF）：将“随机预言”修正为“真随机函数R”，补充英文全称“Probabilistic Polynomial Time，PPT”，并新增Katz-Lindell经典教科书《Introduction to Modern Cryptography》（第三版，2021）作为定义来源，同时保留原始GGM构造论文的引用。（2）抗碰撞哈希函数：明确标注为“抗碰撞哈希函数（Collision-Resistant Hash Function，CRHF）”，将“找到x≠x′”改为“找到一对x≠x′”以消除强碰撞抗性与第二原像抗性之间的歧义，补充Katz-Lindell教科书引用。（3）循环群：将“素阶p的循环群”明确为“素阶p的乘法循环群”。（4）认证加密：将引用从Rogaway-Shrimpton的key-wrap论文改为Katz-Lindell教科书。（5）术语规范：将全文“对手”统一替换为密码学文献中的标准用语“敌手”，共涉及bf.tex中13处与commitment.tex中6处，与intro.tex中已有用法保持一致。</w:t>
            </w:r>
          </w:p>
        </w:tc>
      </w:tr>
    </w:tbl>
    <w:p>
      <w:pPr>
        <w:pBdr>
          <w:bottom w:val="single" w:color="CCCCCC" w:sz="4" w:space="4"/>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2：</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第12页中，说数据拥有方D和授权管理方G视为同一主体，即本模型涉及四类三方主体。文中说“G是完全可信方”所以G跟任何一方都不会串谋。后面又说“本模型不考虑G与S完全串谋情形”，这句话纯无用。</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删除了威胁模型段落末尾“本模型不考虑G与S完全串谋的情形，若二者串谋，G可直接向S泄露主密钥，从而使所有可验证机制失效”这一冗余语句。既然D与G已被明确定义为完全可信方，该声明在逻辑上确属多余。修改后，该段落的信任假设按“D/G完全可信→C_i半可信→S为主要敌手”的层次清晰呈现。</w:t>
            </w:r>
          </w:p>
        </w:tc>
      </w:tr>
    </w:tbl>
    <w:p>
      <w:pPr>
        <w:pBdr>
          <w:bottom w:val="single" w:color="CCCCCC" w:sz="4" w:space="4"/>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3：</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本文提出方法是否存在局限性？在哪些场景下方案的性能或安全性会下降？未来的研究计划如何弥补这些不足？</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在第五章新增“本文方案的局限性”一节，系统讨论了六项局限性：（1）当前可验证性以TSet候选枚举完整为前提，若服务器在TSet查找阶段选择性漏返候选条目，现有机制无法检测；（2）验证机制的证据结构与合取查询语义深度耦合，无法直接支持析取或更复杂的布尔组合查询；（3）证明通信量在候选集规模较大或交叉关键词数较多时可能成为部署瓶颈；（4）授权管理方G被建模为完全可信方，该假设若不成立则验证链路失去根基；（5）高频更新场景下Merkle树的批量优化策略尚未纳入协议设计；（6）用户撤销采用被动式假设，未涉及主动式密钥更新与密文重加密。其中前两项局限性在“未来工作展望”中给出了具体的解决路径讨论。</w:t>
            </w:r>
          </w:p>
        </w:tc>
      </w:tr>
    </w:tbl>
    <w:p>
      <w:pPr>
        <w:pBdr>
          <w:bottom w:val="single" w:color="CCCCCC" w:sz="4" w:space="4"/>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4：</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本文提出的方法是针对对称可搜索加密场景，该法是否可拓展到公钥可搜索加密、属性基可搜索加密等其他场景？</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在第五章“未来工作展望”末尾新增一段可扩展性讨论。指出本文核心认证数据结构（Merkle承诺与选择性开封）在原理上不依赖对称加密的具体结构，具有向其他加密体制迁移的潜力。同时分析了具体扩展面临的技术挑战：在公钥可搜索加密（PEKS）场景中，陷门生成基于公钥运算而非共享密钥派生，地址绑定机制与版本锚点的管理方式需针对公钥体制重新设计；在属性基可搜索加密（ABSE）场景中，访问控制策略嵌入密文或密钥结构，验证机制需与属性匹配逻辑协同设计，扩展难度进一步增大。上述场景的可验证性扩展均构成值得深入探索的未来研究方向。</w:t>
            </w:r>
          </w:p>
        </w:tc>
      </w:tr>
    </w:tbl>
    <w:p>
      <w:pPr>
        <w:pBdr>
          <w:bottom w:val="single" w:color="CCCCCC" w:sz="4" w:space="4"/>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2E5090"/>
                <w:sz w:val="24"/>
                <w:szCs w:val="24"/>
              </w:rPr>
              <w:t xml:space="preserve">意见 5：</w:t>
            </w:r>
          </w:p>
        </w:tc>
        <w:tc>
          <w:tcPr>
            <w:tcW w:type="dxa" w:w="8160"/>
            <w:tcBorders>
              <w:top w:val="none" w:sz="0"/>
              <w:left w:val="none" w:sz="0"/>
              <w:bottom w:val="none" w:sz="0"/>
              <w:right w:val="none" w:sz="0"/>
            </w:tcBorders>
            <w:tcMar>
              <w:top w:type="dxa" w:w="60"/>
              <w:left w:type="dxa" w:w="100"/>
              <w:bottom w:type="dxa" w:w="60"/>
              <w:right w:type="dxa" w:w="100"/>
            </w:tcMar>
          </w:tcPr>
          <w:p>
            <w:pPr>
              <w:spacing w:after="60" w:line="360"/>
            </w:pPr>
            <w:r>
              <w:rPr>
                <w:rFonts w:ascii="SimSun" w:cs="SimSun" w:eastAsia="SimSun" w:hAnsi="SimSun"/>
                <w:b/>
                <w:bCs/>
                <w:sz w:val="24"/>
                <w:szCs w:val="24"/>
              </w:rPr>
              <w:t xml:space="preserve">参考文献总体上偏少。文献【24】在IEEE Xplore中搜索不到。</w:t>
            </w:r>
          </w:p>
        </w:tc>
      </w:tr>
      <w:tr>
        <w:tc>
          <w:tcPr>
            <w:tcW w:type="dxa" w:w="1200"/>
            <w:tcBorders>
              <w:top w:val="none" w:sz="0"/>
              <w:left w:val="none" w:sz="0"/>
              <w:bottom w:val="none" w:sz="0"/>
              <w:right w:val="none" w:sz="0"/>
            </w:tcBorders>
            <w:tcMar>
              <w:top w:type="dxa" w:w="60"/>
              <w:left w:type="dxa" w:w="100"/>
              <w:bottom w:type="dxa" w:w="60"/>
              <w:right w:type="dxa" w:w="100"/>
            </w:tcMar>
          </w:tcPr>
          <w:p>
            <w:pPr>
              <w:spacing w:after="60"/>
            </w:pPr>
            <w:r>
              <w:rPr>
                <w:rFonts w:ascii="SimSun" w:cs="SimSun" w:eastAsia="SimSun" w:hAnsi="SimSun"/>
                <w:b/>
                <w:bCs/>
                <w:color w:val="C03030"/>
                <w:sz w:val="24"/>
                <w:szCs w:val="24"/>
              </w:rPr>
              <w:t xml:space="preserve">修改说明：</w:t>
            </w:r>
          </w:p>
        </w:tc>
        <w:tc>
          <w:tcPr>
            <w:tcW w:type="dxa" w:w="8160"/>
            <w:tcBorders>
              <w:top w:val="none" w:sz="0"/>
              <w:left w:val="none" w:sz="0"/>
              <w:bottom w:val="none" w:sz="0"/>
              <w:right w:val="none" w:sz="0"/>
            </w:tcBorders>
            <w:tcMar>
              <w:top w:type="dxa" w:w="60"/>
              <w:left w:type="dxa" w:w="100"/>
              <w:bottom w:type="dxa" w:w="60"/>
              <w:right w:type="dxa" w:w="100"/>
            </w:tcMar>
          </w:tcPr>
          <w:p>
            <w:pPr>
              <w:spacing w:after="100" w:line="360"/>
              <w:jc w:val="both"/>
            </w:pPr>
            <w:r>
              <w:rPr>
                <w:rFonts w:ascii="SimSun" w:cs="SimSun" w:eastAsia="SimSun" w:hAnsi="SimSun"/>
                <w:sz w:val="24"/>
                <w:szCs w:val="24"/>
              </w:rPr>
              <w:t xml:space="preserve">已采纳。（1）文献[24]的问题已修正，将原bib条目从ePrint预印本格式更新为正式发表的期刊版本信息，确保可在IEEE Xplore上检索到。（2）新增6条参考文献以充实文献基础：Katz-Lindell《Introduction to Modern Cryptography》第三版（密码学原语定义的统一教科书来源）、Merkle CRYPTO’89论文（Merkle树的经典会议论文）、Tamassia认证数据结构综述、Martel等人认证数据结构通用模型、Fuller等人SoK: Cryptographically Protected Database Search综述（SSE领域的系统化知识梳理）、Stefanov等人Practical Dynamic Searchable Encryption with Small Leakage（动态SSE方向的重要工作），并在正文对应位置引用。</w:t>
            </w:r>
          </w:p>
        </w:tc>
      </w:tr>
    </w:tbl>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jc w:val="center"/>
      <w:outlineLvl w:val="0"/>
    </w:pPr>
    <w:rPr>
      <w:rFonts w:ascii="SimHei" w:cs="SimHei" w:eastAsia="SimHei" w:hAnsi="SimHei"/>
      <w:b/>
      <w:bCs/>
      <w:color w:val="1A1A1A"/>
      <w:sz w:val="32"/>
      <w:szCs w:val="32"/>
    </w:rPr>
  </w:style>
  <w:style w:type="paragraph" w:styleId="Heading2">
    <w:name w:val="Heading 2"/>
    <w:basedOn w:val="Normal"/>
    <w:next w:val="Normal"/>
    <w:qFormat/>
    <w:pPr>
      <w:spacing w:after="160" w:before="240"/>
      <w:outlineLvl w:val="1"/>
    </w:pPr>
    <w:rPr>
      <w:rFonts w:ascii="SimHei" w:cs="SimHei" w:eastAsia="SimHei" w:hAnsi="SimHei"/>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2026-04-24T03:27:03.242Z</dcterms:created>
  <dcterms:modified xsi:type="dcterms:W3CDTF">2026-04-24T03:27:03.243Z</dcterms:modified>
</cp:coreProperties>
</file>

<file path=docProps/custom.xml><?xml version="1.0" encoding="utf-8"?>
<Properties xmlns="http://schemas.openxmlformats.org/officeDocument/2006/custom-properties" xmlns:vt="http://schemas.openxmlformats.org/officeDocument/2006/docPropsVTypes"/>
</file>