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辅助 SEM 图像分析与实验报告生成系统</w:t>
      </w:r>
    </w:p>
    <w:p>
      <w:r>
        <w:t>生成时间：2026-05-09 16:24:52</w:t>
        <w:br/>
      </w:r>
      <w:r>
        <w:t>样品编号：S-001</w:t>
        <w:br/>
      </w:r>
      <w:r>
        <w:t>材料：Nb2O5</w:t>
        <w:br/>
      </w:r>
      <w:r>
        <w:t>阶段：原料粉体</w:t>
        <w:br/>
      </w:r>
      <w:r>
        <w:t>烧结温度：1200℃</w:t>
        <w:br/>
      </w:r>
      <w:r>
        <w:t>烧结时间：2h</w:t>
        <w:br/>
      </w:r>
      <w:r>
        <w:t>倍率（记录）：5000</w:t>
        <w:br/>
      </w:r>
      <w:r>
        <w:t>比例尺/像素信息：50um</w:t>
        <w:br/>
      </w:r>
      <w:r>
        <w:t>图注（图片说明）：无</w:t>
        <w:br/>
      </w:r>
      <w:r>
        <w:t>备注：无</w:t>
        <w:br/>
      </w:r>
    </w:p>
    <w:p>
      <w:pPr>
        <w:pStyle w:val="Heading1"/>
      </w:pPr>
      <w:r>
        <w:t>图像 proxy 指标表（非严格物理量）</w:t>
      </w:r>
    </w:p>
    <w:p>
      <w:r>
        <w:rPr>
          <w:sz w:val="20"/>
        </w:rPr>
        <w:t>下表为基于图像的统计 proxy（辅助性草稿），受成像与阈值影响。dark_area_ratio 仅为暗区面积比例 proxy，禁止称为孔隙率；edge_density 仅为边缘像素占比 proxy，禁止等同于颗粒边界数量；sharpness_laplacian_var 仅用于清晰度质控 proxy。无可靠比例尺或 pixel size 时禁止给出微米单位的粒径、孔径、裂纹长度。</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file_name</w:t>
            </w:r>
          </w:p>
        </w:tc>
        <w:tc>
          <w:tcPr>
            <w:tcW w:type="dxa" w:w="960"/>
          </w:tcPr>
          <w:p>
            <w:r>
              <w:t>width</w:t>
            </w:r>
          </w:p>
        </w:tc>
        <w:tc>
          <w:tcPr>
            <w:tcW w:type="dxa" w:w="960"/>
          </w:tcPr>
          <w:p>
            <w:r>
              <w:t>height</w:t>
            </w:r>
          </w:p>
        </w:tc>
        <w:tc>
          <w:tcPr>
            <w:tcW w:type="dxa" w:w="960"/>
          </w:tcPr>
          <w:p>
            <w:r>
              <w:t>mean_gray</w:t>
            </w:r>
          </w:p>
        </w:tc>
        <w:tc>
          <w:tcPr>
            <w:tcW w:type="dxa" w:w="960"/>
          </w:tcPr>
          <w:p>
            <w:r>
              <w:t>std_gray</w:t>
            </w:r>
          </w:p>
        </w:tc>
        <w:tc>
          <w:tcPr>
            <w:tcW w:type="dxa" w:w="960"/>
          </w:tcPr>
          <w:p>
            <w:r>
              <w:t>contrast</w:t>
            </w:r>
          </w:p>
        </w:tc>
        <w:tc>
          <w:tcPr>
            <w:tcW w:type="dxa" w:w="960"/>
          </w:tcPr>
          <w:p>
            <w:r>
              <w:t>sharpness_laplacian_var</w:t>
            </w:r>
          </w:p>
        </w:tc>
        <w:tc>
          <w:tcPr>
            <w:tcW w:type="dxa" w:w="960"/>
          </w:tcPr>
          <w:p>
            <w:r>
              <w:t>edge_density</w:t>
            </w:r>
          </w:p>
        </w:tc>
        <w:tc>
          <w:tcPr>
            <w:tcW w:type="dxa" w:w="960"/>
          </w:tcPr>
          <w:p>
            <w:r>
              <w:t>dark_area_ratio</w:t>
            </w:r>
          </w:p>
        </w:tc>
      </w:tr>
      <w:tr>
        <w:tc>
          <w:tcPr>
            <w:tcW w:type="dxa" w:w="960"/>
          </w:tcPr>
          <w:p>
            <w:r>
              <w:t>1_q243.tif</w:t>
            </w:r>
          </w:p>
        </w:tc>
        <w:tc>
          <w:tcPr>
            <w:tcW w:type="dxa" w:w="960"/>
          </w:tcPr>
          <w:p>
            <w:r>
              <w:t>1280</w:t>
            </w:r>
          </w:p>
        </w:tc>
        <w:tc>
          <w:tcPr>
            <w:tcW w:type="dxa" w:w="960"/>
          </w:tcPr>
          <w:p>
            <w:r>
              <w:t>960</w:t>
            </w:r>
          </w:p>
        </w:tc>
        <w:tc>
          <w:tcPr>
            <w:tcW w:type="dxa" w:w="960"/>
          </w:tcPr>
          <w:p>
            <w:r>
              <w:t>101.7344</w:t>
            </w:r>
          </w:p>
        </w:tc>
        <w:tc>
          <w:tcPr>
            <w:tcW w:type="dxa" w:w="960"/>
          </w:tcPr>
          <w:p>
            <w:r>
              <w:t>48.3179</w:t>
            </w:r>
          </w:p>
        </w:tc>
        <w:tc>
          <w:tcPr>
            <w:tcW w:type="dxa" w:w="960"/>
          </w:tcPr>
          <w:p>
            <w:r>
              <w:t>1.0</w:t>
            </w:r>
          </w:p>
        </w:tc>
        <w:tc>
          <w:tcPr>
            <w:tcW w:type="dxa" w:w="960"/>
          </w:tcPr>
          <w:p>
            <w:r>
              <w:t>3524.9132</w:t>
            </w:r>
          </w:p>
        </w:tc>
        <w:tc>
          <w:tcPr>
            <w:tcW w:type="dxa" w:w="960"/>
          </w:tcPr>
          <w:p>
            <w:r>
              <w:t>0.293191</w:t>
            </w:r>
          </w:p>
        </w:tc>
        <w:tc>
          <w:tcPr>
            <w:tcW w:type="dxa" w:w="960"/>
          </w:tcPr>
          <w:p>
            <w:r>
              <w:t>0.246138</w:t>
            </w:r>
          </w:p>
        </w:tc>
      </w:tr>
    </w:tbl>
    <w:p>
      <w:pPr>
        <w:pStyle w:val="Heading1"/>
      </w:pPr>
      <w:r>
        <w:t>报告正文</w:t>
      </w:r>
    </w:p>
    <w:p>
      <w:r>
        <w:t>【实验报告（本地模板）】</w:t>
      </w:r>
    </w:p>
    <w:p/>
    <w:p>
      <w:r>
        <w:t>一、样品与工艺信息（用户填写）</w:t>
      </w:r>
    </w:p>
    <w:p>
      <w:r>
        <w:t xml:space="preserve">  样品编号：S-001</w:t>
      </w:r>
    </w:p>
    <w:p>
      <w:r>
        <w:t xml:space="preserve">  材料名称：Nb2O5</w:t>
      </w:r>
    </w:p>
    <w:p>
      <w:r>
        <w:t xml:space="preserve">  样品阶段：原料粉体</w:t>
      </w:r>
    </w:p>
    <w:p>
      <w:r>
        <w:t xml:space="preserve">  烧结温度：1200℃</w:t>
      </w:r>
    </w:p>
    <w:p>
      <w:r>
        <w:t xml:space="preserve">  烧结时间：2h</w:t>
      </w:r>
    </w:p>
    <w:p>
      <w:r>
        <w:t xml:space="preserve">  电镜倍率（记录值）：5000</w:t>
      </w:r>
    </w:p>
    <w:p>
      <w:r>
        <w:t xml:space="preserve">  像素尺寸或比例尺信息：50um</w:t>
      </w:r>
    </w:p>
    <w:p>
      <w:r>
        <w:t xml:space="preserve">  图注（图片说明）：无</w:t>
      </w:r>
    </w:p>
    <w:p>
      <w:r>
        <w:t xml:space="preserve">  备注：无</w:t>
      </w:r>
    </w:p>
    <w:p/>
    <w:p>
      <w:r>
        <w:t>二、图像与测量说明</w:t>
      </w:r>
    </w:p>
    <w:p>
      <w:r>
        <w:t xml:space="preserve">  本节数值均为基于单张二维图像的「图像 proxy 指标」，受成像条件、衬度、边缘效应等影响，不能等同于严格物理量（如真实粒径分布、真实孔隙率等）；仅为辅助性草稿，不是最终物理结论。</w:t>
      </w:r>
    </w:p>
    <w:p>
      <w:r>
        <w:t xml:space="preserve">  分项称谓约束（第一版）</w:t>
      </w:r>
    </w:p>
    <w:p>
      <w:r>
        <w:t xml:space="preserve">  - dark_area_ratio：仅称「暗区面积比例 proxy」，禁止解释为孔隙率或孔隙体积分数；仅代表低于选定灰度分位阈值的像素占比。</w:t>
      </w:r>
    </w:p>
    <w:p>
      <w:r>
        <w:t xml:space="preserve">  - edge_density：仅反映图像边缘像素占比（边缘「丰富程度」proxy）；禁止等同于颗粒边界条数或真实界面密度。</w:t>
      </w:r>
    </w:p>
    <w:p>
      <w:r>
        <w:t xml:space="preserve">  - sharpness_laplacian_var：仅作成像清晰度 / 对焦质量的 proxy（质控）；禁止作为分辨率或粒径等物理度量。</w:t>
      </w:r>
    </w:p>
    <w:p>
      <w:r>
        <w:t xml:space="preserve">  - mean_gray / std_gray / contrast：仅为灰度统计与反差 proxy；不得解释为化学成分或真实相含量。</w:t>
      </w:r>
    </w:p>
    <w:p>
      <w:r>
        <w:t xml:space="preserve">  - 比例尺与 pixel size：若未提供可靠标尺或可核验的 pixel size，禁止输出微米单位的粒径、孔径、裂纹长度等测量结论（仅限定性描述或标注「待人工确认」）。</w:t>
      </w:r>
    </w:p>
    <w:p>
      <w:r>
        <w:t xml:space="preserve">  已填写比例尺/像素相关信息，但本原型仍不对图像做自动物理标定换算；真实尺寸需结合电镜软件或人工标定后确认。</w:t>
      </w:r>
    </w:p>
    <w:p/>
    <w:p>
      <w:r>
        <w:t>三、各图基础图像 proxy 指标汇总（见页面表格与 CSV）</w:t>
      </w:r>
    </w:p>
    <w:p>
      <w:r>
        <w:t xml:space="preserve">  共 1 张图像。</w:t>
      </w:r>
    </w:p>
    <w:p>
      <w:r>
        <w:t xml:space="preserve">  - 1_q243.tif: 1280×960 px, mean_gray=101.7344, edge_density=0.293191</w:t>
      </w:r>
    </w:p>
    <w:p/>
    <w:p>
      <w:r>
        <w:t>四、形貌文字描述</w:t>
      </w:r>
    </w:p>
    <w:p>
      <w:r>
        <w:t xml:space="preserve">  （本地模板未启用 AI 时）此处需实验人员根据 SEM 形貌自行补全；若已启用 AI，见下文「AI 结构化视觉分析（JSON 字段）」，须经人工复核。</w:t>
      </w:r>
    </w:p>
    <w:p/>
    <w:p>
      <w:r>
        <w:t>五、可解释研究链条（占位）</w:t>
      </w:r>
    </w:p>
    <w:p>
      <w:r>
        <w:t xml:space="preserve">  原料形貌 → 烧结过程 → 终态微结构 → 电化学性能 的关联分析应由研究者在实验数据与文献基础上完成；本工具仅提供图像 proxy 与辅助描述草稿。</w:t>
      </w:r>
    </w:p>
    <w:p>
      <w:r>
        <w:t xml:space="preserve">  【数据诚信】本报告不包含也未声称已完成 XRD、BET、EIS、循环或容量等测试；禁止在本工具输出中编造上述任一数值或未开展实验的结论。</w:t>
      </w:r>
    </w:p>
    <w:p/>
    <w:p>
      <w:r>
        <w:t>六、不确定性与人工复核（Uncertainty and Manual Review）</w:t>
      </w:r>
    </w:p>
    <w:p>
      <w:r>
        <w:t xml:space="preserve">  AI 输出与图像 proxy 指标均为辅助草稿，可能存在误判或遗漏；禁止不经复核写入正式论文结论。涉及尺寸、孔隙、裂纹定量及电化学推断的结论必须由人工结合原始数据与补充表征确认。</w:t>
      </w:r>
    </w:p>
    <w:p/>
    <w:p>
      <w:r>
        <w:t>【下一轮实验建议（假设性，须实验与其它表征验证；不得视为已测数据）】</w:t>
      </w:r>
    </w:p>
    <w:p>
      <w:r>
        <w:t>## 本地模板建议（未调用 AI 实验规划）</w:t>
      </w:r>
    </w:p>
    <w:p>
      <w:r>
        <w:t>- 若图像疑似失焦、过曝或充电条纹，建议在仪器条件允许下调整参数后补拍对照视场。（假设性，须验证）</w:t>
      </w:r>
    </w:p>
    <w:p>
      <w:r>
        <w:t>- 若需关联 Nb₂O₅ 烧结显微结构演变，建议结合课题组已有能力安排**真实实验**后的补充表征；**禁止**在本工具中编造 XRD / BET / EIS 等任何数值。（须验证）</w:t>
      </w:r>
    </w:p>
    <w:p>
      <w:r>
        <w:t>- 多尺度对照时可补充不同放大倍数视场，并保持标尺/记录条件一致。（待人工确认）</w:t>
      </w:r>
    </w:p>
    <w:p/>
    <w:p>
      <w:r>
        <w:t>## 不确定性与人工复核</w:t>
      </w:r>
    </w:p>
    <w:p>
      <w:r>
        <w:t>- 以上仅为流程占位建议，须由课题负责人依据目标与预算筛选。（须人工确认）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