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83" w:rsidRDefault="007D4D83" w:rsidP="007D4D83">
      <w:pPr>
        <w:adjustRightInd w:val="0"/>
        <w:snapToGrid w:val="0"/>
        <w:spacing w:line="560" w:lineRule="exact"/>
        <w:jc w:val="left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附件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3</w:t>
      </w:r>
    </w:p>
    <w:p w:rsidR="007D4D83" w:rsidRDefault="007D4D83" w:rsidP="007D4D83">
      <w:pPr>
        <w:adjustRightInd w:val="0"/>
        <w:snapToGrid w:val="0"/>
        <w:spacing w:beforeLines="50" w:before="156" w:line="240" w:lineRule="atLeast"/>
        <w:jc w:val="center"/>
        <w:rPr>
          <w:rFonts w:ascii="黑体" w:eastAsia="黑体" w:hAnsi="黑体" w:cs="Times New Roman"/>
          <w:sz w:val="36"/>
          <w:szCs w:val="36"/>
        </w:rPr>
      </w:pPr>
      <w:r>
        <w:rPr>
          <w:rFonts w:ascii="黑体" w:eastAsia="黑体" w:hAnsi="黑体" w:cs="Times New Roman"/>
          <w:sz w:val="36"/>
          <w:szCs w:val="36"/>
        </w:rPr>
        <w:t>201</w:t>
      </w:r>
      <w:r>
        <w:rPr>
          <w:rFonts w:ascii="黑体" w:eastAsia="黑体" w:hAnsi="黑体" w:cs="Times New Roman" w:hint="eastAsia"/>
          <w:sz w:val="36"/>
          <w:szCs w:val="36"/>
        </w:rPr>
        <w:t>8</w:t>
      </w:r>
      <w:r>
        <w:rPr>
          <w:rFonts w:ascii="黑体" w:eastAsia="黑体" w:hAnsi="黑体" w:cs="Times New Roman"/>
          <w:sz w:val="36"/>
          <w:szCs w:val="36"/>
        </w:rPr>
        <w:t>年全国职业院校技能大赛</w:t>
      </w:r>
    </w:p>
    <w:p w:rsidR="007D4D83" w:rsidRDefault="007D4D83" w:rsidP="007D4D83">
      <w:pPr>
        <w:adjustRightInd w:val="0"/>
        <w:snapToGrid w:val="0"/>
        <w:spacing w:afterLines="50" w:after="156" w:line="240" w:lineRule="atLeast"/>
        <w:jc w:val="center"/>
        <w:rPr>
          <w:rFonts w:ascii="Times New Roman" w:eastAsia="仿宋_GB2312" w:hAnsi="Times New Roman" w:cs="Times New Roman"/>
          <w:sz w:val="36"/>
          <w:szCs w:val="36"/>
        </w:rPr>
      </w:pPr>
      <w:r>
        <w:rPr>
          <w:rFonts w:ascii="黑体" w:eastAsia="黑体" w:hAnsi="黑体" w:cs="Times New Roman"/>
          <w:sz w:val="36"/>
          <w:szCs w:val="36"/>
        </w:rPr>
        <w:t>行业特色赛项</w:t>
      </w:r>
      <w:r>
        <w:rPr>
          <w:rFonts w:ascii="黑体" w:eastAsia="黑体" w:hAnsi="黑体" w:cs="Times New Roman" w:hint="eastAsia"/>
          <w:sz w:val="36"/>
          <w:szCs w:val="36"/>
        </w:rPr>
        <w:t>实施</w:t>
      </w:r>
      <w:r>
        <w:rPr>
          <w:rFonts w:ascii="黑体" w:eastAsia="黑体" w:hAnsi="黑体" w:cs="Times New Roman"/>
          <w:sz w:val="36"/>
          <w:szCs w:val="36"/>
        </w:rPr>
        <w:t>方案</w:t>
      </w:r>
    </w:p>
    <w:p w:rsidR="007D4D83" w:rsidRDefault="007D4D83" w:rsidP="007D4D83">
      <w:pPr>
        <w:adjustRightInd w:val="0"/>
        <w:snapToGrid w:val="0"/>
        <w:spacing w:line="520" w:lineRule="exact"/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一、大赛名称：</w:t>
      </w:r>
      <w:r>
        <w:rPr>
          <w:rFonts w:ascii="仿宋_GB2312" w:eastAsia="仿宋_GB2312" w:hAnsi="仿宋_GB2312" w:cs="仿宋_GB2312" w:hint="eastAsia"/>
          <w:sz w:val="30"/>
          <w:szCs w:val="30"/>
        </w:rPr>
        <w:t>2018年全国职业院校技能大赛</w:t>
      </w:r>
    </w:p>
    <w:p w:rsidR="007D4D83" w:rsidRDefault="007D4D83" w:rsidP="007D4D83">
      <w:pPr>
        <w:adjustRightInd w:val="0"/>
        <w:snapToGrid w:val="0"/>
        <w:spacing w:line="520" w:lineRule="exact"/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二、比赛时间：2018年6月</w:t>
      </w:r>
    </w:p>
    <w:p w:rsidR="007D4D83" w:rsidRDefault="007D4D83" w:rsidP="007D4D83">
      <w:pPr>
        <w:adjustRightInd w:val="0"/>
        <w:snapToGrid w:val="0"/>
        <w:spacing w:line="52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三、比赛地点：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北京</w:t>
      </w:r>
      <w:r>
        <w:rPr>
          <w:rFonts w:ascii="Times New Roman" w:eastAsia="仿宋_GB2312" w:hAnsi="Times New Roman" w:cs="Times New Roman"/>
          <w:sz w:val="30"/>
          <w:szCs w:val="30"/>
        </w:rPr>
        <w:t>、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天津、山西、辽宁、浙江、湖北、重庆</w:t>
      </w:r>
    </w:p>
    <w:p w:rsidR="007D4D83" w:rsidRDefault="007D4D83" w:rsidP="007D4D83">
      <w:pPr>
        <w:adjustRightInd w:val="0"/>
        <w:snapToGrid w:val="0"/>
        <w:spacing w:line="560" w:lineRule="exact"/>
        <w:ind w:firstLineChars="200" w:firstLine="600"/>
        <w:rPr>
          <w:rFonts w:ascii="Times New Roman" w:eastAsia="仿宋_GB2312" w:hAnsi="Times New Roman" w:cs="Times New Roman"/>
          <w:color w:val="000000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四、主办单位：</w:t>
      </w:r>
      <w:r w:rsidRPr="00AF7918">
        <w:rPr>
          <w:rFonts w:ascii="Times New Roman" w:eastAsia="仿宋_GB2312" w:hAnsi="Times New Roman" w:cs="Times New Roman" w:hint="eastAsia"/>
          <w:sz w:val="30"/>
          <w:szCs w:val="30"/>
        </w:rPr>
        <w:t>教育部、天</w:t>
      </w:r>
      <w:r w:rsidRPr="00AF7918">
        <w:rPr>
          <w:rFonts w:ascii="Times New Roman" w:eastAsia="仿宋_GB2312" w:hAnsi="Times New Roman" w:cs="Times New Roman" w:hint="eastAsia"/>
          <w:color w:val="000000"/>
          <w:sz w:val="30"/>
          <w:szCs w:val="30"/>
        </w:rPr>
        <w:t>津市人民政府、</w:t>
      </w:r>
      <w:r w:rsidRPr="00AF7918">
        <w:rPr>
          <w:rFonts w:ascii="Times New Roman" w:eastAsia="仿宋_GB2312" w:hAnsi="Times New Roman" w:cs="Times New Roman" w:hint="eastAsia"/>
          <w:sz w:val="30"/>
          <w:szCs w:val="30"/>
        </w:rPr>
        <w:t>国家发展和改革委员会、科学技术部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、工业和信息化部、国家民族事务委员会、民政部、财政部、人力资源</w:t>
      </w:r>
      <w:r w:rsidRPr="00AF7918">
        <w:rPr>
          <w:rFonts w:ascii="Times New Roman" w:eastAsia="仿宋_GB2312" w:hAnsi="Times New Roman" w:cs="Times New Roman" w:hint="eastAsia"/>
          <w:sz w:val="30"/>
          <w:szCs w:val="30"/>
        </w:rPr>
        <w:t>社会保障部、自然资源部、生态环境部、住房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和</w:t>
      </w:r>
      <w:r w:rsidRPr="00AF7918">
        <w:rPr>
          <w:rFonts w:ascii="Times New Roman" w:eastAsia="仿宋_GB2312" w:hAnsi="Times New Roman" w:cs="Times New Roman" w:hint="eastAsia"/>
          <w:sz w:val="30"/>
          <w:szCs w:val="30"/>
        </w:rPr>
        <w:t>城乡建设部、交通运输部、水利部、农业农村部、商务部、文化和旅游部、国家卫生健康委员会、应急管理部、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国务院国</w:t>
      </w:r>
      <w:r w:rsidRPr="00891E4F">
        <w:rPr>
          <w:rFonts w:ascii="Times New Roman" w:eastAsia="仿宋_GB2312" w:hAnsi="Times New Roman" w:cs="Times New Roman" w:hint="eastAsia"/>
          <w:sz w:val="30"/>
          <w:szCs w:val="30"/>
        </w:rPr>
        <w:t>有资产监督管理委员会、</w:t>
      </w:r>
      <w:r w:rsidRPr="00AF7918">
        <w:rPr>
          <w:rFonts w:ascii="Times New Roman" w:eastAsia="仿宋_GB2312" w:hAnsi="Times New Roman" w:cs="Times New Roman" w:hint="eastAsia"/>
          <w:sz w:val="30"/>
          <w:szCs w:val="30"/>
        </w:rPr>
        <w:t>国家粮食和物资储备局、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中国民用航空</w:t>
      </w:r>
      <w:r w:rsidRPr="00AF7918">
        <w:rPr>
          <w:rFonts w:ascii="Times New Roman" w:eastAsia="仿宋_GB2312" w:hAnsi="Times New Roman" w:cs="Times New Roman" w:hint="eastAsia"/>
          <w:sz w:val="30"/>
          <w:szCs w:val="30"/>
        </w:rPr>
        <w:t>局、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国家</w:t>
      </w:r>
      <w:r w:rsidRPr="00AF7918">
        <w:rPr>
          <w:rFonts w:ascii="Times New Roman" w:eastAsia="仿宋_GB2312" w:hAnsi="Times New Roman" w:cs="Times New Roman" w:hint="eastAsia"/>
          <w:sz w:val="30"/>
          <w:szCs w:val="30"/>
        </w:rPr>
        <w:t>中医药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管理</w:t>
      </w:r>
      <w:r w:rsidRPr="00AF7918">
        <w:rPr>
          <w:rFonts w:ascii="Times New Roman" w:eastAsia="仿宋_GB2312" w:hAnsi="Times New Roman" w:cs="Times New Roman" w:hint="eastAsia"/>
          <w:sz w:val="30"/>
          <w:szCs w:val="30"/>
        </w:rPr>
        <w:t>局、</w:t>
      </w:r>
      <w:r w:rsidRPr="00923384">
        <w:rPr>
          <w:rFonts w:ascii="Times New Roman" w:eastAsia="仿宋_GB2312" w:hAnsi="Times New Roman" w:cs="Times New Roman" w:hint="eastAsia"/>
          <w:sz w:val="30"/>
          <w:szCs w:val="30"/>
        </w:rPr>
        <w:t>国务院扶贫开发领导小组办公室</w:t>
      </w:r>
      <w:r w:rsidRPr="00AF7918">
        <w:rPr>
          <w:rFonts w:ascii="Times New Roman" w:eastAsia="仿宋_GB2312" w:hAnsi="Times New Roman" w:cs="Times New Roman" w:hint="eastAsia"/>
          <w:sz w:val="30"/>
          <w:szCs w:val="30"/>
        </w:rPr>
        <w:t>、中华全国总工会、共青团中央、中华职业教育社、中国职业技术教育学会、中华全国供销合作总社、中国机械工业联合会、中国有色金属工业协会、中国石油和化学工业联合会、中国物流与采购联合会、中国纺织工业联合会、中国煤炭工业协会</w:t>
      </w:r>
      <w:r w:rsidRPr="00AF7918">
        <w:rPr>
          <w:rFonts w:ascii="Times New Roman" w:eastAsia="仿宋_GB2312" w:hAnsi="Times New Roman" w:cs="Times New Roman" w:hint="eastAsia"/>
          <w:color w:val="000000"/>
          <w:sz w:val="30"/>
          <w:szCs w:val="30"/>
        </w:rPr>
        <w:t>等部门。</w:t>
      </w:r>
    </w:p>
    <w:p w:rsidR="007D4D83" w:rsidRDefault="007D4D83" w:rsidP="007D4D83">
      <w:pPr>
        <w:adjustRightInd w:val="0"/>
        <w:snapToGrid w:val="0"/>
        <w:spacing w:line="52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五、比赛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组别</w:t>
      </w:r>
      <w:r>
        <w:rPr>
          <w:rFonts w:ascii="Times New Roman" w:eastAsia="仿宋_GB2312" w:hAnsi="Times New Roman" w:cs="Times New Roman"/>
          <w:sz w:val="30"/>
          <w:szCs w:val="30"/>
        </w:rPr>
        <w:t>：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中职组、</w:t>
      </w:r>
      <w:r>
        <w:rPr>
          <w:rFonts w:ascii="Times New Roman" w:eastAsia="仿宋_GB2312" w:hAnsi="Times New Roman" w:cs="Times New Roman"/>
          <w:sz w:val="30"/>
          <w:szCs w:val="30"/>
        </w:rPr>
        <w:t>高职组</w:t>
      </w:r>
    </w:p>
    <w:p w:rsidR="007D4D83" w:rsidRDefault="007D4D83" w:rsidP="007D4D83">
      <w:pPr>
        <w:adjustRightInd w:val="0"/>
        <w:snapToGrid w:val="0"/>
        <w:spacing w:line="52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六、比赛项目</w:t>
      </w:r>
      <w:r>
        <w:rPr>
          <w:rFonts w:ascii="仿宋_GB2312" w:eastAsia="仿宋_GB2312" w:hAnsi="仿宋_GB2312" w:cs="仿宋_GB2312" w:hint="eastAsia"/>
          <w:sz w:val="30"/>
          <w:szCs w:val="30"/>
        </w:rPr>
        <w:t>：共8个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赛项。其中，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</w:rPr>
        <w:t>中职组1个；高职组7个。</w:t>
      </w:r>
    </w:p>
    <w:p w:rsidR="007D4D83" w:rsidRDefault="007D4D83" w:rsidP="007D4D83">
      <w:pPr>
        <w:adjustRightInd w:val="0"/>
        <w:snapToGrid w:val="0"/>
        <w:spacing w:line="52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七、比赛具体报名通知及赛项规程由大赛执委会另发。</w:t>
      </w:r>
    </w:p>
    <w:p w:rsidR="007D4D83" w:rsidRDefault="007D4D83" w:rsidP="007D4D83">
      <w:pPr>
        <w:adjustRightInd w:val="0"/>
        <w:snapToGrid w:val="0"/>
        <w:spacing w:line="52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八、报名资格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：</w:t>
      </w:r>
      <w:r>
        <w:rPr>
          <w:rFonts w:ascii="Times New Roman" w:eastAsia="仿宋_GB2312" w:hAnsi="Times New Roman" w:cs="Times New Roman" w:hint="eastAsia"/>
          <w:color w:val="000000"/>
          <w:sz w:val="30"/>
          <w:szCs w:val="30"/>
        </w:rPr>
        <w:t>报名以省（自治区、直辖市，计划单列市，新疆生产建设兵团）为单位组队。以计划单列市为单位报名仅限中职项目。</w:t>
      </w:r>
      <w:r>
        <w:rPr>
          <w:rFonts w:ascii="仿宋_GB2312" w:eastAsia="仿宋_GB2312" w:hAnsi="Arial Narrow" w:hint="eastAsia"/>
          <w:color w:val="000000"/>
          <w:sz w:val="30"/>
          <w:szCs w:val="30"/>
        </w:rPr>
        <w:t>中职组参赛选手须为中等职业学校全日制在籍学生；</w:t>
      </w:r>
      <w:r>
        <w:rPr>
          <w:rFonts w:ascii="仿宋_GB2312" w:eastAsia="仿宋_GB2312" w:hAnsi="Arial Narrow" w:hint="eastAsia"/>
          <w:color w:val="000000"/>
          <w:sz w:val="30"/>
          <w:szCs w:val="30"/>
        </w:rPr>
        <w:lastRenderedPageBreak/>
        <w:t>高职组参赛选手须为普通高等学校全日制在籍专科学生。本科院校中高职类全日制在籍学生可报名参加高职组比赛。五年制高职学生报名参赛的，一至三年级（含三年级）学生参加中职组比赛，四、五年级学生参加高职组比赛。中职组参赛选手年龄须不超过21周岁；高职组参赛选手年龄须不超过25周岁，年龄计算的截止时间以2018年5月1日为准。凡在往届全国职业院校技能大赛中获一等奖的选手，不能再参加同一项目同一组别的比赛。团体赛不得跨校组队。团体赛参赛队、个人赛参赛选手均可配指导教师。指导教师须为本校专兼职教师，团体赛每队限报2名指导教师，个人赛每名选手限报1名指导教师</w:t>
      </w:r>
      <w:r>
        <w:rPr>
          <w:rFonts w:ascii="Times New Roman" w:eastAsia="仿宋_GB2312" w:hAnsi="Times New Roman" w:cs="Times New Roman" w:hint="eastAsia"/>
          <w:color w:val="000000"/>
          <w:sz w:val="30"/>
          <w:szCs w:val="30"/>
        </w:rPr>
        <w:t>。</w:t>
      </w:r>
    </w:p>
    <w:p w:rsidR="007D4D83" w:rsidRDefault="007D4D83" w:rsidP="007D4D83">
      <w:pPr>
        <w:rPr>
          <w:rFonts w:ascii="Times New Roman" w:eastAsia="仿宋_GB2312" w:hAnsi="Times New Roman" w:cs="Times New Roman"/>
          <w:sz w:val="30"/>
          <w:szCs w:val="30"/>
        </w:rPr>
        <w:sectPr w:rsidR="007D4D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仿宋_GB2312" w:hAnsi="Times New Roman" w:cs="Times New Roman"/>
          <w:sz w:val="30"/>
          <w:szCs w:val="30"/>
        </w:rPr>
        <w:t>九、分赛区组委会名单由大赛执委会另发。</w:t>
      </w:r>
    </w:p>
    <w:p w:rsidR="007D4D83" w:rsidRDefault="007D4D83" w:rsidP="007D4D83">
      <w:pPr>
        <w:adjustRightInd w:val="0"/>
        <w:snapToGrid w:val="0"/>
        <w:spacing w:line="520" w:lineRule="exact"/>
        <w:ind w:firstLine="585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lastRenderedPageBreak/>
        <w:t>十、赛项简介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：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710"/>
        <w:gridCol w:w="709"/>
        <w:gridCol w:w="1559"/>
        <w:gridCol w:w="1276"/>
        <w:gridCol w:w="1559"/>
        <w:gridCol w:w="6379"/>
        <w:gridCol w:w="1701"/>
      </w:tblGrid>
      <w:tr w:rsidR="007D4D83" w:rsidTr="00F3549A">
        <w:trPr>
          <w:trHeight w:val="2361"/>
        </w:trPr>
        <w:tc>
          <w:tcPr>
            <w:tcW w:w="710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中职</w:t>
            </w:r>
          </w:p>
        </w:tc>
        <w:tc>
          <w:tcPr>
            <w:tcW w:w="1559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文化艺术类</w:t>
            </w:r>
          </w:p>
        </w:tc>
        <w:tc>
          <w:tcPr>
            <w:tcW w:w="1276" w:type="dxa"/>
            <w:vAlign w:val="center"/>
          </w:tcPr>
          <w:p w:rsidR="007D4D83" w:rsidRDefault="007D4D83" w:rsidP="00F3549A">
            <w:pPr>
              <w:widowControl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ZZT-2018006</w:t>
            </w:r>
          </w:p>
        </w:tc>
        <w:tc>
          <w:tcPr>
            <w:tcW w:w="1559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艺术专业技能（弹拨乐器演奏）</w:t>
            </w:r>
          </w:p>
        </w:tc>
        <w:tc>
          <w:tcPr>
            <w:tcW w:w="6379" w:type="dxa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 xml:space="preserve">    个人赛，表演形式为独奏</w:t>
            </w: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br/>
              <w:t xml:space="preserve">    竞赛内容：1．乐曲演奏。选手自选1-2首乐曲，现场演奏,时间为6-8分钟。2.旋律模唱。选手现场抽取1条旋律模唱题，由老师现场用钢琴弹奏后，选手按要求进行模唱。3．视奏。选手现场抽取视奏题，准备1分钟时间，然后完整视奏一遍。4.专业知识考查。选手现场抽取2道赛题后独立回答问题，赛题内容包括音乐专业知识及艺术理论基础知识，赛题形式为图片、音频、视频和文字材料。时间为2分钟。</w:t>
            </w:r>
          </w:p>
        </w:tc>
        <w:tc>
          <w:tcPr>
            <w:tcW w:w="1701" w:type="dxa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每名选手限报1名指导教师。</w:t>
            </w:r>
          </w:p>
        </w:tc>
      </w:tr>
      <w:tr w:rsidR="007D4D83" w:rsidTr="00F3549A">
        <w:tc>
          <w:tcPr>
            <w:tcW w:w="710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高职</w:t>
            </w:r>
          </w:p>
        </w:tc>
        <w:tc>
          <w:tcPr>
            <w:tcW w:w="1559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资源环境与安全大类</w:t>
            </w:r>
          </w:p>
        </w:tc>
        <w:tc>
          <w:tcPr>
            <w:tcW w:w="1276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GZT-2018001</w:t>
            </w:r>
          </w:p>
        </w:tc>
        <w:tc>
          <w:tcPr>
            <w:tcW w:w="1559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岩矿鉴定与综合地质编录技术</w:t>
            </w:r>
          </w:p>
        </w:tc>
        <w:tc>
          <w:tcPr>
            <w:tcW w:w="6379" w:type="dxa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 xml:space="preserve">    团体赛</w:t>
            </w: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br/>
              <w:t xml:space="preserve">    竞赛内容：竞赛包括岩矿石标本肉眼及镜下鉴定（2小时，30分）、钻孔地质编录（2小时，30分）、地质图判读</w:t>
            </w:r>
            <w:proofErr w:type="gramStart"/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及图切剖面</w:t>
            </w:r>
            <w:proofErr w:type="gramEnd"/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绘制（2小时，40分）3个项目，总分100分。3个项目均由3名选手分工合作完成。</w:t>
            </w:r>
            <w:proofErr w:type="gramStart"/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岩矿标本</w:t>
            </w:r>
            <w:proofErr w:type="gramEnd"/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鉴定。利用小刀、钥匙、放大镜、条痕板、稀盐酸等鉴定设备对岩矿石手标本进行鉴定，对薄片进行显微镜下鉴定，并写出鉴定报告。钻孔地质编录。根据20米左右的钻孔</w:t>
            </w:r>
            <w:proofErr w:type="gramStart"/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岩矿心</w:t>
            </w:r>
            <w:proofErr w:type="gramEnd"/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和钻孔</w:t>
            </w:r>
            <w:proofErr w:type="gramStart"/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岩矿心</w:t>
            </w:r>
            <w:proofErr w:type="gramEnd"/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编录原始记录表、岩心柱状图格式、电脑、绘图工具等编制钻孔柱状图。地质图判读</w:t>
            </w:r>
            <w:proofErr w:type="gramStart"/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及图切剖面</w:t>
            </w:r>
            <w:proofErr w:type="gramEnd"/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绘制。根据竞赛组委会提供的地形地质图、厘米纸、电脑（安装有MAPGIS6.7和AutoCAD2008软件）、绘图用具编写地质判读报告，绘制手工切制地质剖面图，计算机切制地质剖面图。</w:t>
            </w:r>
          </w:p>
        </w:tc>
        <w:tc>
          <w:tcPr>
            <w:tcW w:w="1701" w:type="dxa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每队3名选手；不得跨校组队；每队限报2名指导教师。</w:t>
            </w:r>
          </w:p>
        </w:tc>
      </w:tr>
      <w:tr w:rsidR="007D4D83" w:rsidTr="00F3549A">
        <w:trPr>
          <w:trHeight w:val="1458"/>
        </w:trPr>
        <w:tc>
          <w:tcPr>
            <w:tcW w:w="710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高职</w:t>
            </w:r>
          </w:p>
        </w:tc>
        <w:tc>
          <w:tcPr>
            <w:tcW w:w="1559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资源环境与安全大类</w:t>
            </w:r>
          </w:p>
        </w:tc>
        <w:tc>
          <w:tcPr>
            <w:tcW w:w="1276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GZT-2018007</w:t>
            </w:r>
          </w:p>
        </w:tc>
        <w:tc>
          <w:tcPr>
            <w:tcW w:w="1559" w:type="dxa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矿井灾害应急救援技术</w:t>
            </w:r>
          </w:p>
        </w:tc>
        <w:tc>
          <w:tcPr>
            <w:tcW w:w="6379" w:type="dxa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 xml:space="preserve">    团体赛</w:t>
            </w: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br/>
              <w:t xml:space="preserve">    竞赛内容: 结合矿井灾害救援人员在煤矿井下事故处理高度的实战性、应用性、及时性和技术性要求，参赛队在规定时间内根据不同事故类型依次完成闻警出动、救援准备、灾区侦察、事故技术处理与伤员抢救、撤离灾区等五项竞赛内容，重点考查参赛选手的分析问题、解决问题的能力，以及团队协作、安全意识等职业素养。</w:t>
            </w:r>
          </w:p>
        </w:tc>
        <w:tc>
          <w:tcPr>
            <w:tcW w:w="1701" w:type="dxa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每队6名选手；不得跨校组队；每队限报2名指导教师。</w:t>
            </w:r>
          </w:p>
        </w:tc>
      </w:tr>
    </w:tbl>
    <w:p w:rsidR="007D4D83" w:rsidRDefault="007D4D83" w:rsidP="007D4D83">
      <w:pPr>
        <w:adjustRightInd w:val="0"/>
        <w:snapToGrid w:val="0"/>
        <w:spacing w:line="520" w:lineRule="exact"/>
        <w:ind w:firstLine="585"/>
        <w:rPr>
          <w:rFonts w:ascii="Times New Roman" w:eastAsia="仿宋_GB2312" w:hAnsi="Times New Roman" w:cs="Times New Roman"/>
          <w:sz w:val="30"/>
          <w:szCs w:val="30"/>
        </w:rPr>
        <w:sectPr w:rsidR="007D4D83" w:rsidSect="00C95CC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pPr w:leftFromText="180" w:rightFromText="180" w:vertAnchor="page" w:horzAnchor="margin" w:tblpY="2206"/>
        <w:tblW w:w="13879" w:type="dxa"/>
        <w:tblLayout w:type="fixed"/>
        <w:tblLook w:val="04A0" w:firstRow="1" w:lastRow="0" w:firstColumn="1" w:lastColumn="0" w:noHBand="0" w:noVBand="1"/>
      </w:tblPr>
      <w:tblGrid>
        <w:gridCol w:w="709"/>
        <w:gridCol w:w="720"/>
        <w:gridCol w:w="1485"/>
        <w:gridCol w:w="1260"/>
        <w:gridCol w:w="1605"/>
        <w:gridCol w:w="6390"/>
        <w:gridCol w:w="1710"/>
      </w:tblGrid>
      <w:tr w:rsidR="007D4D83" w:rsidTr="00F3549A">
        <w:trPr>
          <w:trHeight w:val="25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高职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资源环境与安全大类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GZT-2018008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数字化矿山监测技术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 xml:space="preserve">    团体赛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br/>
              <w:t xml:space="preserve">    竞赛内容：光学瓦斯检定器选定及故障判断；分站和传感器的故障处理；采掘工作面瓦斯传感器的设置；实测瓦斯浓度；二氧化碳浓度及数据校正；自救器的佩戴、自救和互救；采掘工作面传感器和分站的安装和调校；模拟矿井通风系统瓦斯管理。以实操为主，竞赛时间200分钟，总分100分。通过竞赛，进一步推进全国煤炭行业资源环境类相关专业工学结合人才培养，促进校企合作办学，实现专业与产业对接、课程内容与职业标准对接、教学过程与生产过程对接，培养适应煤炭行业技术发展需要的高素质技术技能型专门人才，拓展和提高职业教育的社会认可度；展示高职教育改革和人才培养的成果，激发学生学习兴趣，促进职业院校之间相关专业人才培养改革成果交流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每队3名选手；不得跨校组队；每队限报2名指导教师。</w:t>
            </w:r>
          </w:p>
        </w:tc>
      </w:tr>
      <w:tr w:rsidR="007D4D83" w:rsidTr="00F3549A">
        <w:trPr>
          <w:trHeight w:val="14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高职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能源动力与材料大类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GZT-2018013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金属冶炼与设备检修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 xml:space="preserve">    团体赛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br/>
              <w:t xml:space="preserve">    竞赛内容：竞赛包括铜火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法冶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炼（120分钟，50分），氧气顶底复吹转炉炼钢（80分钟，30分）、冶金设备电气排故（20分钟，20分）3个项目，总分100分。3名选手在指定时间内分工合作完成3个项目的正常炉次冶炼、异常工况处理操作。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每队3名选手；不得跨校组队；每队限报2名指导教师。</w:t>
            </w:r>
          </w:p>
        </w:tc>
      </w:tr>
      <w:tr w:rsidR="007D4D83" w:rsidTr="00F3549A">
        <w:trPr>
          <w:trHeight w:val="14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高职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装备制造大类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GZT-2018020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船舶主机和轴系安装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 xml:space="preserve">    团体赛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br/>
              <w:t xml:space="preserve">    竞赛内容：通过理论知识测试、船舶轴系定位、工艺参数的测量与调整、轴承负荷测量与调整、船舶主机安装垫片的配制和小型柴油机装配与调试模块的竞赛，检验参赛选手船舶主机和轴系安装技术方面的综合职业技能，考核参赛选手的统筹计划能力、工作效率、质量意识、安全意识和职业素养等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每队3名选手；不得跨校组队；每队限报2名指导教师。</w:t>
            </w:r>
          </w:p>
        </w:tc>
      </w:tr>
      <w:tr w:rsidR="007D4D83" w:rsidTr="00F3549A">
        <w:trPr>
          <w:trHeight w:val="16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高职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文化艺术大类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GZT-2018032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艺术专业技能（弹拨乐器演奏）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 xml:space="preserve">    个人赛，表演形式为独奏。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br/>
              <w:t xml:space="preserve">    竞赛内容：1.乐曲演奏。选手自选乐曲1首或2首，现场演奏，时间为6-8分钟。2.旋律模唱。选手现场抽取旋律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模唱题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1题，由老师当场用钢琴弹奏后，选手根据听觉记忆按要求进行模唱。3.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视奏与旋律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分析。选手现场抽取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视奏与旋律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分析题，用2分钟时间进行读谱和旋律分析；随后按要求进行视奏；视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奏结束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后即陈述对该旋律的分析所得，陈述时间不超过1分钟。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每名选手限报1名指导教师。</w:t>
            </w:r>
          </w:p>
        </w:tc>
      </w:tr>
      <w:tr w:rsidR="007D4D83" w:rsidTr="00F3549A">
        <w:trPr>
          <w:trHeight w:val="30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高职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公共管理与服务大类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GTZ-2018033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养老服务技能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 xml:space="preserve">    个人赛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br/>
              <w:t xml:space="preserve">    竞赛内容：参照《养老护理员国家职业技能标准》（2011年修订版），根据养老服务人员工作过程，选取3-4个考核项目，涵盖生活照料、基础护理、康复护理、心理护理、培训指导等内容。（一）竞赛形式及时间 1.实操笔答（90分钟）案例分析：参赛选手对给出的1份老年人照护案例，进行独立思考分析，按照答题要求提出解决方案。案例分析竞赛时间为90分钟。2.现场操作（15分钟）综合技能：参赛选手在一个竞赛区须完成涉及3-4个具体操作的综合技能项目，重点考查参赛选手的操作执行能力、知识应用能力、分析问题和解决问题的能力及人文关怀素质。综合技能竞赛时间为15分钟。（二）成绩比例。竞赛成绩采用百分制、分步计分。每个参赛选手总分为100分，其中，案例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分析占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20%；综合技能占80%，包括情境分析、工作准备、沟通评估、操作过程(技能涵盖生活照料、基础护理、康复护理、心理护理、培训指导)、整理环节、综合评价等。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4D83" w:rsidRDefault="007D4D83" w:rsidP="00F3549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每名选手限报1名指导教师。</w:t>
            </w:r>
          </w:p>
        </w:tc>
      </w:tr>
    </w:tbl>
    <w:p w:rsidR="00A51019" w:rsidRPr="007D4D83" w:rsidRDefault="00A51019" w:rsidP="007D4D83">
      <w:bookmarkStart w:id="0" w:name="_GoBack"/>
      <w:bookmarkEnd w:id="0"/>
    </w:p>
    <w:sectPr w:rsidR="00A51019" w:rsidRPr="007D4D83" w:rsidSect="007D4D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83"/>
    <w:rsid w:val="007D4D83"/>
    <w:rsid w:val="00A5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D4D8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D4D8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刘潇翰</dc:creator>
  <cp:lastModifiedBy>刘潇翰</cp:lastModifiedBy>
  <cp:revision>1</cp:revision>
  <dcterms:created xsi:type="dcterms:W3CDTF">2018-05-03T07:47:00Z</dcterms:created>
  <dcterms:modified xsi:type="dcterms:W3CDTF">2018-05-03T07:47:00Z</dcterms:modified>
</cp:coreProperties>
</file>