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Hair Follicle Optimization — Master Research Document v0.2</w:t>
      </w:r>
    </w:p>
    <w:p>
      <w:pPr>
        <w:jc w:val="center"/>
      </w:pPr>
      <w:r>
        <w:rPr>
          <w:i/>
        </w:rPr>
        <w:t>Wnt/β-catenin • Zinc/metallothionein • mitochondrial metabolism • laboratory strategy • food • topical botanicals</w:t>
      </w:r>
    </w:p>
    <w:p>
      <w:pPr>
        <w:pStyle w:val="Heading1"/>
      </w:pPr>
      <w:r>
        <w:t>Document purpose</w:t>
      </w:r>
    </w:p>
    <w:p>
      <w:r>
        <w:t>This revised master document consolidates the current hair-follicle research thread and explicitly incorporates the earlier zinc-and-hair research stream and the separate ylang-ylang/TCM/Ayurvedic botanical stream. The two streams are connected conceptually but are kept analytically separate: nutrition/metabolism addresses systemic support of follicular physiology; topical botanicals address the scalp/follicular microenvironment.</w:t>
      </w:r>
    </w:p>
    <w:p>
      <w:pPr>
        <w:pStyle w:val="Heading1"/>
      </w:pPr>
      <w:r>
        <w:t>1. Executive synthesis</w:t>
      </w:r>
    </w:p>
    <w:p>
      <w:r>
        <w:t>Canonical Wnt/β-catenin signaling is a central regulator of hair-follicle development, regeneration and hair-cycle behavior. Hair-follicle stem cells and their dermal papilla niche integrate Wnt/β-catenin with BMP, TGF-β, Notch, Hedgehog, androgen and other signals. Current literature supports Wnt/β-catenin as a major mechanistic target in hair-regeneration research, but clinical manipulation of this pathway remains an emerging area rather than a routine nutritional treatment. [PubMed: Wnt/β-catenin and hair loss; 2020, 2025 reviews]</w:t>
      </w:r>
    </w:p>
    <w:p>
      <w:r>
        <w:t>The nutritional question is therefore framed as: what deficiencies or metabolic bottlenecks could reduce the follicle's ability to respond to normal regenerative signals or to execute anagen growth? The strongest practical candidates are energy/protein inadequacy, iron deficiency, zinc deficiency, vitamin-D/thyroid abnormalities, and selected micronutrient deficiencies. The B1/PDH/TCA hypothesis is mechanistically plausible but should not be presented as a proven direct β-catenin mechanism.</w:t>
      </w:r>
    </w:p>
    <w:p>
      <w:pPr>
        <w:pStyle w:val="Heading1"/>
      </w:pPr>
      <w:r>
        <w:t>2. Hair follicle signaling architecture</w:t>
      </w:r>
    </w:p>
    <w:p>
      <w:pPr>
        <w:pStyle w:val="ListBullet"/>
      </w:pPr>
      <w:r>
        <w:t>Wnt ligand → Frizzled/LRP5/6 → Dishevelled → inhibition of β-catenin destruction machinery.</w:t>
      </w:r>
    </w:p>
    <w:p>
      <w:pPr>
        <w:pStyle w:val="ListBullet"/>
      </w:pPr>
      <w:r>
        <w:t>β-catenin stabilization → nuclear translocation → TCF/LEF transcriptional activity.</w:t>
      </w:r>
    </w:p>
    <w:p>
      <w:pPr>
        <w:pStyle w:val="ListBullet"/>
      </w:pPr>
      <w:r>
        <w:t>Wnt/β-catenin signaling participates in hair-follicle stem-cell activation and the resting-to-growth transition.</w:t>
      </w:r>
    </w:p>
    <w:p>
      <w:pPr>
        <w:pStyle w:val="ListBullet"/>
      </w:pPr>
      <w:r>
        <w:t>Wnt10b is a particularly studied canonical Wnt ligand in hair-follicle development/regeneration.</w:t>
      </w:r>
    </w:p>
    <w:p>
      <w:pPr>
        <w:pStyle w:val="ListBullet"/>
      </w:pPr>
      <w:r>
        <w:t>Androgen signaling can interact with Wnt/β-catenin in androgenetic alopecia.</w:t>
      </w:r>
    </w:p>
    <w:p>
      <w:pPr>
        <w:pStyle w:val="ListBullet"/>
      </w:pPr>
      <w:r>
        <w:t>The pathway is tightly regulated; excessive or constitutive β-catenin activation is not a desirable nutritional target.</w:t>
      </w:r>
    </w:p>
    <w:p>
      <w:r>
        <w:t>Evidence anchors: Wnt/β-catenin signaling is repeatedly identified as central to follicular regeneration and hair cycling; recent reviews discuss Wnt10b, DKK/CXXC5, Axin and GSK-3β as important pathway nodes.</w:t>
      </w:r>
    </w:p>
    <w:p>
      <w:pPr>
        <w:pStyle w:val="Heading1"/>
      </w:pPr>
      <w:r>
        <w:t>3. Zinc + hair: integrated module</w:t>
      </w:r>
    </w:p>
    <w:p>
      <w:r>
        <w:t>Zinc is not simply a 'hair vitamin.' It is a structural/catalytic component of many proteins and transcriptional systems, and zinc deficiency can produce alopecia. NIH notes that zinc deficiency can cause hair loss, while excessive zinc can reduce copper status. The adult tolerable upper intake level is 40 mg/day from all sources; sustained supplemental doses around 50 mg/day or more can interfere with copper absorption. Food sources include oysters/seafood, meat, poultry, beans, nuts, whole grains and dairy. [NIH ODS Zinc]</w:t>
      </w:r>
    </w:p>
    <w:p>
      <w:pPr>
        <w:pStyle w:val="Heading2"/>
      </w:pPr>
      <w:r>
        <w:t>3.1 Zinc → metallothionein → redox/copper interface</w:t>
      </w:r>
    </w:p>
    <w:p>
      <w:r>
        <w:t>Metallothioneins are cysteine-rich intracellular proteins that bind metals and participate in metal homeostasis and cellular stress responses. Zinc can induce metallothionein expression. The important systems-level implication is that zinc status cannot be evaluated independently from copper and sulfur-amino-acid availability.</w:t>
      </w:r>
    </w:p>
    <w:p>
      <w:pPr>
        <w:pStyle w:val="ListBullet"/>
      </w:pPr>
      <w:r>
        <w:t>Zinc availability → metallothionein induction and zinc buffering.</w:t>
      </w:r>
    </w:p>
    <w:p>
      <w:pPr>
        <w:pStyle w:val="ListBullet"/>
      </w:pPr>
      <w:r>
        <w:t>Metallothionein synthesis requires protein synthesis and a cysteine-rich substrate environment.</w:t>
      </w:r>
    </w:p>
    <w:p>
      <w:pPr>
        <w:pStyle w:val="ListBullet"/>
      </w:pPr>
      <w:r>
        <w:t>Methionine can contribute to cysteine availability through the transsulfuration pathway.</w:t>
      </w:r>
    </w:p>
    <w:p>
      <w:pPr>
        <w:pStyle w:val="ListBullet"/>
      </w:pPr>
      <w:r>
        <w:t>Cysteine also feeds glutathione synthesis, connecting sulfur metabolism with redox control.</w:t>
      </w:r>
    </w:p>
    <w:p>
      <w:pPr>
        <w:pStyle w:val="ListBullet"/>
      </w:pPr>
      <w:r>
        <w:t>Excess zinc → reduced copper absorption → potential copper deficiency → additional hematologic/neurologic and tissue problems.</w:t>
      </w:r>
    </w:p>
    <w:p>
      <w:r>
        <w:t>This makes the clinically useful question 'Is zinc adequate and balanced with copper?' rather than 'How much zinc can we take?'</w:t>
      </w:r>
    </w:p>
    <w:p>
      <w:pPr>
        <w:pStyle w:val="Heading2"/>
      </w:pPr>
      <w:r>
        <w:t>3.2 Zinc laboratory strategy</w:t>
      </w:r>
    </w:p>
    <w:p>
      <w:pPr>
        <w:pStyle w:val="ListBullet"/>
      </w:pPr>
      <w:r>
        <w:t>Serum or plasma zinc: useful but imperfect; interpret with clinical context, inflammation, timing and fasting status as appropriate.</w:t>
      </w:r>
    </w:p>
    <w:p>
      <w:pPr>
        <w:pStyle w:val="ListBullet"/>
      </w:pPr>
      <w:r>
        <w:t>Copper and ceruloplasmin: particularly important when zinc intake is high or zinc supplementation is prolonged.</w:t>
      </w:r>
    </w:p>
    <w:p>
      <w:pPr>
        <w:pStyle w:val="ListBullet"/>
      </w:pPr>
      <w:r>
        <w:t>CBC: helps detect anemia or cytopenias that may accompany nutritional problems.</w:t>
      </w:r>
    </w:p>
    <w:p>
      <w:pPr>
        <w:pStyle w:val="ListBullet"/>
      </w:pPr>
      <w:r>
        <w:t>Iron studies: zinc and iron problems can coexist but should be distinguished.</w:t>
      </w:r>
    </w:p>
    <w:p>
      <w:pPr>
        <w:pStyle w:val="ListBullet"/>
      </w:pPr>
      <w:r>
        <w:t>Diet/supplement review: calculate total zinc from food + supplements + fortified products.</w:t>
      </w:r>
    </w:p>
    <w:p>
      <w:pPr>
        <w:pStyle w:val="Heading2"/>
      </w:pPr>
      <w:r>
        <w:t>3.3 Zinc-rich food strategy</w:t>
      </w:r>
    </w:p>
    <w:p>
      <w:r>
        <w:t>Highest-value food patterns: oysters and other shellfish; beef; poultry; fish; eggs/dairy; pumpkin seeds; legumes; nuts; whole grains. Plant zinc is less bioavailable when phytate is high, so soaking, sprouting, fermenting and cooking can improve mineral bioavailability.</w:t>
      </w:r>
    </w:p>
    <w:p>
      <w:r>
        <w:t>Avoid treating a low-normal serum zinc result as proof of deficiency without context. Conversely, do not use high-dose zinc empirically for hair growth; NIH specifically notes that correcting deficiency is different from taking extra zinc to make hair thicker.</w:t>
      </w:r>
    </w:p>
    <w:p>
      <w:pPr>
        <w:pStyle w:val="Heading1"/>
      </w:pPr>
      <w:r>
        <w:t>4. Sulfur amino acids and glutathione</w:t>
      </w:r>
    </w:p>
    <w:p>
      <w:r>
        <w:t>Hair keratin is sulfur-rich, particularly through cysteine and disulfide bonding. Methionine can contribute to cysteine production through transsulfuration. Cysteine, together with glutamate and glycine, is also a substrate for glutathione. This creates a useful bridge between hair-shaft construction and cellular redox physiology.</w:t>
      </w:r>
    </w:p>
    <w:p>
      <w:r>
        <w:t>Food sources to rotate: eggs, fish, poultry, lean meat, dairy, legumes, sesame/sunflower/pumpkin seeds, nuts and mushrooms.</w:t>
      </w:r>
    </w:p>
    <w:p>
      <w:pPr>
        <w:pStyle w:val="Heading1"/>
      </w:pPr>
      <w:r>
        <w:t>5. Mitochondrial/B1 → PDH → TCA framework</w:t>
      </w:r>
    </w:p>
    <w:p>
      <w:r>
        <w:t>A growing follicle has high biosynthetic and energetic demand. Thiamine diphosphate is a cofactor for pyruvate dehydrogenase, which connects glycolysis-derived pyruvate to acetyl-CoA and the TCA cycle. This supports the hypothesis that severe B1 deficiency or broader mitochondrial dysfunction could impair follicular growth capacity. However, current evidence does not justify the claim that B1 supplementation directly raises β-catenin in human follicles.</w:t>
      </w:r>
    </w:p>
    <w:p>
      <w:pPr>
        <w:pStyle w:val="ListBullet"/>
      </w:pPr>
      <w:r>
        <w:t>B1/ThDP → PDH → acetyl-CoA → TCA → NADH/FADH2 → ETC → ATP.</w:t>
      </w:r>
    </w:p>
    <w:p>
      <w:pPr>
        <w:pStyle w:val="ListBullet"/>
      </w:pPr>
      <w:r>
        <w:t>B2 → FAD-dependent enzymes; B3 → NAD/NADP; B5 → CoA; magnesium → many ATP-dependent enzymes.</w:t>
      </w:r>
    </w:p>
    <w:p>
      <w:pPr>
        <w:pStyle w:val="ListBullet"/>
      </w:pPr>
      <w:r>
        <w:t>Energy status interfaces with AMPK, mTOR and PI3K/AKT; these pathways can intersect with GSK-3β and Wnt signaling.</w:t>
      </w:r>
    </w:p>
    <w:p>
      <w:pPr>
        <w:pStyle w:val="Heading1"/>
      </w:pPr>
      <w:r>
        <w:t>6. Core laboratory panel</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Laboratory</w:t>
            </w:r>
          </w:p>
        </w:tc>
        <w:tc>
          <w:tcPr>
            <w:tcW w:type="dxa" w:w="2880"/>
          </w:tcPr>
          <w:p>
            <w:r>
              <w:t>Question answered</w:t>
            </w:r>
          </w:p>
        </w:tc>
        <w:tc>
          <w:tcPr>
            <w:tcW w:type="dxa" w:w="2880"/>
          </w:tcPr>
          <w:p>
            <w:r>
              <w:t>Priority</w:t>
            </w:r>
          </w:p>
        </w:tc>
      </w:tr>
      <w:tr>
        <w:tc>
          <w:tcPr>
            <w:tcW w:type="dxa" w:w="2880"/>
            <w:vAlign w:val="center"/>
          </w:tcPr>
          <w:p>
            <w:r>
              <w:t>CBC</w:t>
            </w:r>
          </w:p>
        </w:tc>
        <w:tc>
          <w:tcPr>
            <w:tcW w:type="dxa" w:w="2880"/>
            <w:vAlign w:val="center"/>
          </w:tcPr>
          <w:p>
            <w:r>
              <w:t>Anemia, macrocytosis/cytopenias</w:t>
            </w:r>
          </w:p>
        </w:tc>
        <w:tc>
          <w:tcPr>
            <w:tcW w:type="dxa" w:w="2880"/>
            <w:vAlign w:val="center"/>
          </w:tcPr>
          <w:p>
            <w:r>
              <w:t>Core</w:t>
            </w:r>
          </w:p>
        </w:tc>
      </w:tr>
      <w:tr>
        <w:tc>
          <w:tcPr>
            <w:tcW w:type="dxa" w:w="2880"/>
            <w:vAlign w:val="center"/>
          </w:tcPr>
          <w:p>
            <w:r>
              <w:t>Ferritin + iron + TIBC/transferrin + transferrin saturation</w:t>
            </w:r>
          </w:p>
        </w:tc>
        <w:tc>
          <w:tcPr>
            <w:tcW w:type="dxa" w:w="2880"/>
            <w:vAlign w:val="center"/>
          </w:tcPr>
          <w:p>
            <w:r>
              <w:t>Iron stores/availability</w:t>
            </w:r>
          </w:p>
        </w:tc>
        <w:tc>
          <w:tcPr>
            <w:tcW w:type="dxa" w:w="2880"/>
            <w:vAlign w:val="center"/>
          </w:tcPr>
          <w:p>
            <w:r>
              <w:t>Core</w:t>
            </w:r>
          </w:p>
        </w:tc>
      </w:tr>
      <w:tr>
        <w:tc>
          <w:tcPr>
            <w:tcW w:type="dxa" w:w="2880"/>
            <w:vAlign w:val="center"/>
          </w:tcPr>
          <w:p>
            <w:r>
              <w:t>CMP + albumin/total protein</w:t>
            </w:r>
          </w:p>
        </w:tc>
        <w:tc>
          <w:tcPr>
            <w:tcW w:type="dxa" w:w="2880"/>
            <w:vAlign w:val="center"/>
          </w:tcPr>
          <w:p>
            <w:r>
              <w:t>Organ function, protein context, electrolytes</w:t>
            </w:r>
          </w:p>
        </w:tc>
        <w:tc>
          <w:tcPr>
            <w:tcW w:type="dxa" w:w="2880"/>
            <w:vAlign w:val="center"/>
          </w:tcPr>
          <w:p>
            <w:r>
              <w:t>Core</w:t>
            </w:r>
          </w:p>
        </w:tc>
      </w:tr>
      <w:tr>
        <w:tc>
          <w:tcPr>
            <w:tcW w:type="dxa" w:w="2880"/>
            <w:vAlign w:val="center"/>
          </w:tcPr>
          <w:p>
            <w:r>
              <w:t>TSH + free T4</w:t>
            </w:r>
          </w:p>
        </w:tc>
        <w:tc>
          <w:tcPr>
            <w:tcW w:type="dxa" w:w="2880"/>
            <w:vAlign w:val="center"/>
          </w:tcPr>
          <w:p>
            <w:r>
              <w:t>Thyroid screening</w:t>
            </w:r>
          </w:p>
        </w:tc>
        <w:tc>
          <w:tcPr>
            <w:tcW w:type="dxa" w:w="2880"/>
            <w:vAlign w:val="center"/>
          </w:tcPr>
          <w:p>
            <w:r>
              <w:t>Core</w:t>
            </w:r>
          </w:p>
        </w:tc>
      </w:tr>
      <w:tr>
        <w:tc>
          <w:tcPr>
            <w:tcW w:type="dxa" w:w="2880"/>
            <w:vAlign w:val="center"/>
          </w:tcPr>
          <w:p>
            <w:r>
              <w:t>25-OH vitamin D</w:t>
            </w:r>
          </w:p>
        </w:tc>
        <w:tc>
          <w:tcPr>
            <w:tcW w:type="dxa" w:w="2880"/>
            <w:vAlign w:val="center"/>
          </w:tcPr>
          <w:p>
            <w:r>
              <w:t>Vitamin-D status</w:t>
            </w:r>
          </w:p>
        </w:tc>
        <w:tc>
          <w:tcPr>
            <w:tcW w:type="dxa" w:w="2880"/>
            <w:vAlign w:val="center"/>
          </w:tcPr>
          <w:p>
            <w:r>
              <w:t>Core/targeted</w:t>
            </w:r>
          </w:p>
        </w:tc>
      </w:tr>
      <w:tr>
        <w:tc>
          <w:tcPr>
            <w:tcW w:type="dxa" w:w="2880"/>
            <w:vAlign w:val="center"/>
          </w:tcPr>
          <w:p>
            <w:r>
              <w:t>B12 + folate</w:t>
            </w:r>
          </w:p>
        </w:tc>
        <w:tc>
          <w:tcPr>
            <w:tcW w:type="dxa" w:w="2880"/>
            <w:vAlign w:val="center"/>
          </w:tcPr>
          <w:p>
            <w:r>
              <w:t>Cell proliferation/hematologic context</w:t>
            </w:r>
          </w:p>
        </w:tc>
        <w:tc>
          <w:tcPr>
            <w:tcW w:type="dxa" w:w="2880"/>
            <w:vAlign w:val="center"/>
          </w:tcPr>
          <w:p>
            <w:r>
              <w:t>Core/targeted</w:t>
            </w:r>
          </w:p>
        </w:tc>
      </w:tr>
      <w:tr>
        <w:tc>
          <w:tcPr>
            <w:tcW w:type="dxa" w:w="2880"/>
            <w:vAlign w:val="center"/>
          </w:tcPr>
          <w:p>
            <w:r>
              <w:t>Zinc</w:t>
            </w:r>
          </w:p>
        </w:tc>
        <w:tc>
          <w:tcPr>
            <w:tcW w:type="dxa" w:w="2880"/>
            <w:vAlign w:val="center"/>
          </w:tcPr>
          <w:p>
            <w:r>
              <w:t>Zinc status</w:t>
            </w:r>
          </w:p>
        </w:tc>
        <w:tc>
          <w:tcPr>
            <w:tcW w:type="dxa" w:w="2880"/>
            <w:vAlign w:val="center"/>
          </w:tcPr>
          <w:p>
            <w:r>
              <w:t>Core/targeted</w:t>
            </w:r>
          </w:p>
        </w:tc>
      </w:tr>
      <w:tr>
        <w:tc>
          <w:tcPr>
            <w:tcW w:type="dxa" w:w="2880"/>
            <w:vAlign w:val="center"/>
          </w:tcPr>
          <w:p>
            <w:r>
              <w:t>Copper + ceruloplasmin</w:t>
            </w:r>
          </w:p>
        </w:tc>
        <w:tc>
          <w:tcPr>
            <w:tcW w:type="dxa" w:w="2880"/>
            <w:vAlign w:val="center"/>
          </w:tcPr>
          <w:p>
            <w:r>
              <w:t>Copper balance, especially with zinc exposure</w:t>
            </w:r>
          </w:p>
        </w:tc>
        <w:tc>
          <w:tcPr>
            <w:tcW w:type="dxa" w:w="2880"/>
            <w:vAlign w:val="center"/>
          </w:tcPr>
          <w:p>
            <w:r>
              <w:t>Core when zinc is a concern</w:t>
            </w:r>
          </w:p>
        </w:tc>
      </w:tr>
      <w:tr>
        <w:tc>
          <w:tcPr>
            <w:tcW w:type="dxa" w:w="2880"/>
            <w:vAlign w:val="center"/>
          </w:tcPr>
          <w:p>
            <w:r>
              <w:t>Magnesium</w:t>
            </w:r>
          </w:p>
        </w:tc>
        <w:tc>
          <w:tcPr>
            <w:tcW w:type="dxa" w:w="2880"/>
            <w:vAlign w:val="center"/>
          </w:tcPr>
          <w:p>
            <w:r>
              <w:t>Mineral/ATP context</w:t>
            </w:r>
          </w:p>
        </w:tc>
        <w:tc>
          <w:tcPr>
            <w:tcW w:type="dxa" w:w="2880"/>
            <w:vAlign w:val="center"/>
          </w:tcPr>
          <w:p>
            <w:r>
              <w:t>Targeted</w:t>
            </w:r>
          </w:p>
        </w:tc>
      </w:tr>
      <w:tr>
        <w:tc>
          <w:tcPr>
            <w:tcW w:type="dxa" w:w="2880"/>
            <w:vAlign w:val="center"/>
          </w:tcPr>
          <w:p>
            <w:r>
              <w:t>Fasting glucose + HbA1c + lipids</w:t>
            </w:r>
          </w:p>
        </w:tc>
        <w:tc>
          <w:tcPr>
            <w:tcW w:type="dxa" w:w="2880"/>
            <w:vAlign w:val="center"/>
          </w:tcPr>
          <w:p>
            <w:r>
              <w:t>Metabolic context</w:t>
            </w:r>
          </w:p>
        </w:tc>
        <w:tc>
          <w:tcPr>
            <w:tcW w:type="dxa" w:w="2880"/>
            <w:vAlign w:val="center"/>
          </w:tcPr>
          <w:p>
            <w:r>
              <w:t>Targeted</w:t>
            </w:r>
          </w:p>
        </w:tc>
      </w:tr>
      <w:tr>
        <w:tc>
          <w:tcPr>
            <w:tcW w:type="dxa" w:w="2880"/>
            <w:vAlign w:val="center"/>
          </w:tcPr>
          <w:p>
            <w:r>
              <w:t>Free T3 + thyroid antibodies</w:t>
            </w:r>
          </w:p>
        </w:tc>
        <w:tc>
          <w:tcPr>
            <w:tcW w:type="dxa" w:w="2880"/>
            <w:vAlign w:val="center"/>
          </w:tcPr>
          <w:p>
            <w:r>
              <w:t>Further thyroid characterization when indicated</w:t>
            </w:r>
          </w:p>
        </w:tc>
        <w:tc>
          <w:tcPr>
            <w:tcW w:type="dxa" w:w="2880"/>
            <w:vAlign w:val="center"/>
          </w:tcPr>
          <w:p>
            <w:r>
              <w:t>Targeted</w:t>
            </w:r>
          </w:p>
        </w:tc>
      </w:tr>
      <w:tr>
        <w:tc>
          <w:tcPr>
            <w:tcW w:type="dxa" w:w="2880"/>
            <w:vAlign w:val="center"/>
          </w:tcPr>
          <w:p>
            <w:r>
              <w:t>Whole-blood thiamine diphosphate</w:t>
            </w:r>
          </w:p>
        </w:tc>
        <w:tc>
          <w:tcPr>
            <w:tcW w:type="dxa" w:w="2880"/>
            <w:vAlign w:val="center"/>
          </w:tcPr>
          <w:p>
            <w:r>
              <w:t>B1 status</w:t>
            </w:r>
          </w:p>
        </w:tc>
        <w:tc>
          <w:tcPr>
            <w:tcW w:type="dxa" w:w="2880"/>
            <w:vAlign w:val="center"/>
          </w:tcPr>
          <w:p>
            <w:r>
              <w:t>Targeted</w:t>
            </w:r>
          </w:p>
        </w:tc>
      </w:tr>
      <w:tr>
        <w:tc>
          <w:tcPr>
            <w:tcW w:type="dxa" w:w="2880"/>
            <w:vAlign w:val="center"/>
          </w:tcPr>
          <w:p>
            <w:r>
              <w:t>MMA + homocysteine</w:t>
            </w:r>
          </w:p>
        </w:tc>
        <w:tc>
          <w:tcPr>
            <w:tcW w:type="dxa" w:w="2880"/>
            <w:vAlign w:val="center"/>
          </w:tcPr>
          <w:p>
            <w:r>
              <w:t>Selected B12/folate questions</w:t>
            </w:r>
          </w:p>
        </w:tc>
        <w:tc>
          <w:tcPr>
            <w:tcW w:type="dxa" w:w="2880"/>
            <w:vAlign w:val="center"/>
          </w:tcPr>
          <w:p>
            <w:r>
              <w:t>Targeted</w:t>
            </w:r>
          </w:p>
        </w:tc>
      </w:tr>
      <w:tr>
        <w:tc>
          <w:tcPr>
            <w:tcW w:type="dxa" w:w="2880"/>
            <w:vAlign w:val="center"/>
          </w:tcPr>
          <w:p>
            <w:r>
              <w:t>Lactate + pyruvate</w:t>
            </w:r>
          </w:p>
        </w:tc>
        <w:tc>
          <w:tcPr>
            <w:tcW w:type="dxa" w:w="2880"/>
            <w:vAlign w:val="center"/>
          </w:tcPr>
          <w:p>
            <w:r>
              <w:t>Selected mitochondrial/metabolic questions</w:t>
            </w:r>
          </w:p>
        </w:tc>
        <w:tc>
          <w:tcPr>
            <w:tcW w:type="dxa" w:w="2880"/>
            <w:vAlign w:val="center"/>
          </w:tcPr>
          <w:p>
            <w:r>
              <w:t>Specialty</w:t>
            </w:r>
          </w:p>
        </w:tc>
      </w:tr>
    </w:tbl>
    <w:p>
      <w:pPr>
        <w:pStyle w:val="Heading1"/>
      </w:pPr>
      <w:r>
        <w:t>7. Food intervention architecture</w:t>
      </w:r>
    </w:p>
    <w:p>
      <w:pPr>
        <w:pStyle w:val="ListBullet"/>
      </w:pPr>
      <w:r>
        <w:t>Protein anchor: aim for substantial protein at each major meal, individualized to body size, activity and clinical context.</w:t>
      </w:r>
    </w:p>
    <w:p>
      <w:pPr>
        <w:pStyle w:val="ListBullet"/>
      </w:pPr>
      <w:r>
        <w:t>Iron/zinc anchor: rotate seafood, shellfish, lean beef, poultry and legumes.</w:t>
      </w:r>
    </w:p>
    <w:p>
      <w:pPr>
        <w:pStyle w:val="ListBullet"/>
      </w:pPr>
      <w:r>
        <w:t>Sulfur/redox anchor: eggs, fish, poultry, legumes, seeds and adequate protein.</w:t>
      </w:r>
    </w:p>
    <w:p>
      <w:pPr>
        <w:pStyle w:val="ListBullet"/>
      </w:pPr>
      <w:r>
        <w:t>B-vitamin/mitochondrial anchor: whole grains/legumes as tolerated, eggs, meat, fish, mushrooms, nuts/seeds and leafy vegetables.</w:t>
      </w:r>
    </w:p>
    <w:p>
      <w:pPr>
        <w:pStyle w:val="ListBullet"/>
      </w:pPr>
      <w:r>
        <w:t>Selenium/omega-3 anchor: seafood, especially fatty fish; use Brazil nuts cautiously because selenium content is highly variable.</w:t>
      </w:r>
    </w:p>
    <w:p>
      <w:pPr>
        <w:pStyle w:val="ListBullet"/>
      </w:pPr>
      <w:r>
        <w:t>Plant-diversity anchor: mushrooms, cruciferous vegetables, berries, herbs, colorful vegetables and legumes.</w:t>
      </w:r>
    </w:p>
    <w:p>
      <w:pPr>
        <w:pStyle w:val="ListBullet"/>
      </w:pPr>
      <w:r>
        <w:t>Fat anchor: extra-virgin olive oil, avocado, nuts/seeds and fatty fish.</w:t>
      </w:r>
    </w:p>
    <w:p>
      <w:pPr>
        <w:pStyle w:val="Heading1"/>
      </w:pPr>
      <w:r>
        <w:t>8. High-value meal templates</w:t>
      </w:r>
    </w:p>
    <w:tbl>
      <w:tblPr>
        <w:tblStyle w:val="TableGrid"/>
        <w:tblW w:type="auto" w:w="0"/>
        <w:tblLook w:firstColumn="1" w:firstRow="1" w:lastColumn="0" w:lastRow="0" w:noHBand="0" w:noVBand="1" w:val="04A0"/>
      </w:tblPr>
      <w:tblGrid>
        <w:gridCol w:w="2880"/>
        <w:gridCol w:w="2880"/>
        <w:gridCol w:w="2880"/>
      </w:tblGrid>
      <w:tr>
        <w:tc>
          <w:tcPr>
            <w:tcW w:type="dxa" w:w="2880"/>
          </w:tcPr>
          <w:p>
            <w:r>
              <w:t>Template</w:t>
            </w:r>
          </w:p>
        </w:tc>
        <w:tc>
          <w:tcPr>
            <w:tcW w:type="dxa" w:w="2880"/>
          </w:tcPr>
          <w:p>
            <w:r>
              <w:t>Core recipe</w:t>
            </w:r>
          </w:p>
        </w:tc>
        <w:tc>
          <w:tcPr>
            <w:tcW w:type="dxa" w:w="2880"/>
          </w:tcPr>
          <w:p>
            <w:r>
              <w:t>Primary targets</w:t>
            </w:r>
          </w:p>
        </w:tc>
      </w:tr>
      <w:tr>
        <w:tc>
          <w:tcPr>
            <w:tcW w:type="dxa" w:w="2880"/>
          </w:tcPr>
          <w:p>
            <w:r>
              <w:t>Salmon + lentils + broccoli</w:t>
            </w:r>
          </w:p>
        </w:tc>
        <w:tc>
          <w:tcPr>
            <w:tcW w:type="dxa" w:w="2880"/>
          </w:tcPr>
          <w:p>
            <w:r>
              <w:t>Salmon, lentils, broccoli, olive oil, lemon, herbs</w:t>
            </w:r>
          </w:p>
        </w:tc>
        <w:tc>
          <w:tcPr>
            <w:tcW w:type="dxa" w:w="2880"/>
          </w:tcPr>
          <w:p>
            <w:r>
              <w:t>Protein, EPA/DHA, selenium, B12, iron, folate, fiber</w:t>
            </w:r>
          </w:p>
        </w:tc>
      </w:tr>
      <w:tr>
        <w:tc>
          <w:tcPr>
            <w:tcW w:type="dxa" w:w="2880"/>
          </w:tcPr>
          <w:p>
            <w:r>
              <w:t>Beef + mushrooms + lentils</w:t>
            </w:r>
          </w:p>
        </w:tc>
        <w:tc>
          <w:tcPr>
            <w:tcW w:type="dxa" w:w="2880"/>
          </w:tcPr>
          <w:p>
            <w:r>
              <w:t>Lean beef, lentils, mushrooms, carrots, broccoli, olive oil</w:t>
            </w:r>
          </w:p>
        </w:tc>
        <w:tc>
          <w:tcPr>
            <w:tcW w:type="dxa" w:w="2880"/>
          </w:tcPr>
          <w:p>
            <w:r>
              <w:t>Iron, zinc, B12, protein, folate, magnesium</w:t>
            </w:r>
          </w:p>
        </w:tc>
      </w:tr>
      <w:tr>
        <w:tc>
          <w:tcPr>
            <w:tcW w:type="dxa" w:w="2880"/>
          </w:tcPr>
          <w:p>
            <w:r>
              <w:t>Egg + mushroom + sweet potato</w:t>
            </w:r>
          </w:p>
        </w:tc>
        <w:tc>
          <w:tcPr>
            <w:tcW w:type="dxa" w:w="2880"/>
          </w:tcPr>
          <w:p>
            <w:r>
              <w:t>Eggs, mushrooms, spinach, sweet potato, avocado, pumpkin seeds</w:t>
            </w:r>
          </w:p>
        </w:tc>
        <w:tc>
          <w:tcPr>
            <w:tcW w:type="dxa" w:w="2880"/>
          </w:tcPr>
          <w:p>
            <w:r>
              <w:t>Protein, choline, B vitamins, magnesium, zinc</w:t>
            </w:r>
          </w:p>
        </w:tc>
      </w:tr>
      <w:tr>
        <w:tc>
          <w:tcPr>
            <w:tcW w:type="dxa" w:w="2880"/>
          </w:tcPr>
          <w:p>
            <w:r>
              <w:t>Sardine Mediterranean plate</w:t>
            </w:r>
          </w:p>
        </w:tc>
        <w:tc>
          <w:tcPr>
            <w:tcW w:type="dxa" w:w="2880"/>
          </w:tcPr>
          <w:p>
            <w:r>
              <w:t>Sardines, potato/sweet potato, greens, broccoli, olives, lemon</w:t>
            </w:r>
          </w:p>
        </w:tc>
        <w:tc>
          <w:tcPr>
            <w:tcW w:type="dxa" w:w="2880"/>
          </w:tcPr>
          <w:p>
            <w:r>
              <w:t>Omega-3, B12, selenium, vitamin D, calcium</w:t>
            </w:r>
          </w:p>
        </w:tc>
      </w:tr>
      <w:tr>
        <w:tc>
          <w:tcPr>
            <w:tcW w:type="dxa" w:w="2880"/>
          </w:tcPr>
          <w:p>
            <w:r>
              <w:t>Moroccan chicken + chickpeas</w:t>
            </w:r>
          </w:p>
        </w:tc>
        <w:tc>
          <w:tcPr>
            <w:tcW w:type="dxa" w:w="2880"/>
          </w:tcPr>
          <w:p>
            <w:r>
              <w:t>Chicken, chickpeas, carrots, greens, cumin, coriander, turmeric, lemon</w:t>
            </w:r>
          </w:p>
        </w:tc>
        <w:tc>
          <w:tcPr>
            <w:tcW w:type="dxa" w:w="2880"/>
          </w:tcPr>
          <w:p>
            <w:r>
              <w:t>Protein, folate, magnesium, fiber, phytochemicals</w:t>
            </w:r>
          </w:p>
        </w:tc>
      </w:tr>
      <w:tr>
        <w:tc>
          <w:tcPr>
            <w:tcW w:type="dxa" w:w="2880"/>
          </w:tcPr>
          <w:p>
            <w:r>
              <w:t>Greek yogurt + berries + seeds</w:t>
            </w:r>
          </w:p>
        </w:tc>
        <w:tc>
          <w:tcPr>
            <w:tcW w:type="dxa" w:w="2880"/>
          </w:tcPr>
          <w:p>
            <w:r>
              <w:t>Greek yogurt, berries, walnuts, pumpkin seeds, chia, cinnamon</w:t>
            </w:r>
          </w:p>
        </w:tc>
        <w:tc>
          <w:tcPr>
            <w:tcW w:type="dxa" w:w="2880"/>
          </w:tcPr>
          <w:p>
            <w:r>
              <w:t>Protein, polyphenols, magnesium, zinc</w:t>
            </w:r>
          </w:p>
        </w:tc>
      </w:tr>
    </w:tbl>
    <w:p>
      <w:pPr>
        <w:pStyle w:val="Heading1"/>
      </w:pPr>
      <w:r>
        <w:t>9. Meal-prep company framework</w:t>
      </w:r>
    </w:p>
    <w:p>
      <w:pPr>
        <w:pStyle w:val="ListBullet"/>
      </w:pPr>
      <w:r>
        <w:t>Sunbasket: strongest national fit for Mediterranean/pescatarian/whole-food patterns; screen current menus for salmon, legumes, vegetables and olive-oil-forward meals.</w:t>
      </w:r>
    </w:p>
    <w:p>
      <w:pPr>
        <w:pStyle w:val="ListBullet"/>
      </w:pPr>
      <w:r>
        <w:t>CookUnity: strong chef-driven convenience option; choose seafood, poultry, lean beef and vegetable-heavy meals.</w:t>
      </w:r>
    </w:p>
    <w:p>
      <w:pPr>
        <w:pStyle w:val="ListBullet"/>
      </w:pPr>
      <w:r>
        <w:t>Local meal-prep services: prioritize customizable protein + vegetable + legume/root-vegetable combinations and check nutrition labels.</w:t>
      </w:r>
    </w:p>
    <w:p>
      <w:r>
        <w:t>The correct scoring system is meal-by-meal: protein + iron + zinc + selenium + copper + magnesium + B vitamins + vitamin D + omega-3 + fiber + plant diversity, rather than simply 'healthy' or 'low calorie.'</w:t>
      </w:r>
    </w:p>
    <w:p>
      <w:pPr>
        <w:pStyle w:val="Heading1"/>
      </w:pPr>
      <w:r>
        <w:t>10. Topical caffeine and botanical layer</w:t>
      </w:r>
    </w:p>
    <w:p>
      <w:r>
        <w:t>Topical interventions should be analyzed separately from nutritional signaling. Caffeine has a preclinical/experimental hair-growth literature, while ylang-ylang has a much weaker direct hair-regrowth evidence base. The distinction between scalp-care effects and true follicular regrowth is essential.</w:t>
      </w:r>
    </w:p>
    <w:p>
      <w:pPr>
        <w:pStyle w:val="Heading1"/>
      </w:pPr>
      <w:r>
        <w:t>11. Ylang-ylang (Cananga odorata) — TCM/Ayurvedic/ethnomedical module</w:t>
      </w:r>
    </w:p>
    <w:p>
      <w:r>
        <w:t>Cananga odorata is an accepted botanical species native to tropical regions from South Indo-China through Queensland. The literature documents substantial traditional and cosmetic use, but the historical record is geographically broader than a simple 'TCM herb' classification.</w:t>
      </w:r>
    </w:p>
    <w:p>
      <w:r>
        <w:t>The 2015 review of C. odorata documents traditional uses and a broad phytochemical/biological literature, including antimicrobial, anti-inflammatory and other activities. A 2024 ethnomedical study documented 42 traditional applications among 36 traditional healers from 28 ethnic groups across 16 Indonesian provinces, with external use and skin disease prominent.</w:t>
      </w:r>
    </w:p>
    <w:p>
      <w:r>
        <w:t>An Ayurveda institutional herb-garden source lists Cananga odorata and reports traditional applications including anxiety, insomnia, skin irritation and scalp/hair use; it describes infused oil as being applied to scalp and hair to improve lustre. This is evidence of traditional/institutional Ayurvedic use, not proof of clinical hair regrowth.</w:t>
      </w:r>
    </w:p>
    <w:p>
      <w:r>
        <w:t>Current literature also contains animal/preclinical hair-tonic research and patents describing cosmetic/hair-growth applications. However, direct high-quality human clinical trials demonstrating ylang-ylang essential oil as a hair-regrowth treatment are lacking.</w:t>
      </w:r>
    </w:p>
    <w:p>
      <w:pPr>
        <w:pStyle w:val="Heading2"/>
      </w:pPr>
      <w:r>
        <w:t>11.1 Ylang-ylang evidence hierarchy</w:t>
      </w:r>
    </w:p>
    <w:tbl>
      <w:tblPr>
        <w:tblStyle w:val="TableGrid"/>
        <w:tblW w:type="auto" w:w="0"/>
        <w:tblLook w:firstColumn="1" w:firstRow="1" w:lastColumn="0" w:lastRow="0" w:noHBand="0" w:noVBand="1" w:val="04A0"/>
      </w:tblPr>
      <w:tblGrid>
        <w:gridCol w:w="2880"/>
        <w:gridCol w:w="2880"/>
        <w:gridCol w:w="2880"/>
      </w:tblGrid>
      <w:tr>
        <w:tc>
          <w:tcPr>
            <w:tcW w:type="dxa" w:w="2880"/>
          </w:tcPr>
          <w:p>
            <w:r>
              <w:t>Evidence domain</w:t>
            </w:r>
          </w:p>
        </w:tc>
        <w:tc>
          <w:tcPr>
            <w:tcW w:type="dxa" w:w="2880"/>
          </w:tcPr>
          <w:p>
            <w:r>
              <w:t>Level</w:t>
            </w:r>
          </w:p>
        </w:tc>
        <w:tc>
          <w:tcPr>
            <w:tcW w:type="dxa" w:w="2880"/>
          </w:tcPr>
          <w:p>
            <w:r>
              <w:t>Interpretation</w:t>
            </w:r>
          </w:p>
        </w:tc>
      </w:tr>
      <w:tr>
        <w:tc>
          <w:tcPr>
            <w:tcW w:type="dxa" w:w="2880"/>
          </w:tcPr>
          <w:p>
            <w:r>
              <w:t>Traditional/ethnomedical use</w:t>
            </w:r>
          </w:p>
        </w:tc>
        <w:tc>
          <w:tcPr>
            <w:tcW w:type="dxa" w:w="2880"/>
          </w:tcPr>
          <w:p>
            <w:r>
              <w:t>Documented</w:t>
            </w:r>
          </w:p>
        </w:tc>
        <w:tc>
          <w:tcPr>
            <w:tcW w:type="dxa" w:w="2880"/>
          </w:tcPr>
          <w:p>
            <w:r>
              <w:t>Use in scalp/skin and other conditions varies by tradition and geography.</w:t>
            </w:r>
          </w:p>
        </w:tc>
      </w:tr>
      <w:tr>
        <w:tc>
          <w:tcPr>
            <w:tcW w:type="dxa" w:w="2880"/>
          </w:tcPr>
          <w:p>
            <w:r>
              <w:t>Ayurvedic institutional use</w:t>
            </w:r>
          </w:p>
        </w:tc>
        <w:tc>
          <w:tcPr>
            <w:tcW w:type="dxa" w:w="2880"/>
          </w:tcPr>
          <w:p>
            <w:r>
              <w:t>Documented</w:t>
            </w:r>
          </w:p>
        </w:tc>
        <w:tc>
          <w:tcPr>
            <w:tcW w:type="dxa" w:w="2880"/>
          </w:tcPr>
          <w:p>
            <w:r>
              <w:t>Scalp/hair oil use for lustre is described by an Ayurveda institution.</w:t>
            </w:r>
          </w:p>
        </w:tc>
      </w:tr>
      <w:tr>
        <w:tc>
          <w:tcPr>
            <w:tcW w:type="dxa" w:w="2880"/>
          </w:tcPr>
          <w:p>
            <w:r>
              <w:t>Phytochemistry</w:t>
            </w:r>
          </w:p>
        </w:tc>
        <w:tc>
          <w:tcPr>
            <w:tcW w:type="dxa" w:w="2880"/>
          </w:tcPr>
          <w:p>
            <w:r>
              <w:t>Strong</w:t>
            </w:r>
          </w:p>
        </w:tc>
        <w:tc>
          <w:tcPr>
            <w:tcW w:type="dxa" w:w="2880"/>
          </w:tcPr>
          <w:p>
            <w:r>
              <w:t>Essential oil contains monoterpenes, sesquiterpenes and phenylpropanoids; composition varies with source/extraction.</w:t>
            </w:r>
          </w:p>
        </w:tc>
      </w:tr>
      <w:tr>
        <w:tc>
          <w:tcPr>
            <w:tcW w:type="dxa" w:w="2880"/>
          </w:tcPr>
          <w:p>
            <w:r>
              <w:t>Antimicrobial/anti-inflammatory activity</w:t>
            </w:r>
          </w:p>
        </w:tc>
        <w:tc>
          <w:tcPr>
            <w:tcW w:type="dxa" w:w="2880"/>
          </w:tcPr>
          <w:p>
            <w:r>
              <w:t>Preclinical/experimental</w:t>
            </w:r>
          </w:p>
        </w:tc>
        <w:tc>
          <w:tcPr>
            <w:tcW w:type="dxa" w:w="2880"/>
          </w:tcPr>
          <w:p>
            <w:r>
              <w:t>Biological activities are reported, but translation to hair regrowth is uncertain.</w:t>
            </w:r>
          </w:p>
        </w:tc>
      </w:tr>
      <w:tr>
        <w:tc>
          <w:tcPr>
            <w:tcW w:type="dxa" w:w="2880"/>
          </w:tcPr>
          <w:p>
            <w:r>
              <w:t>Animal hair-growth evidence</w:t>
            </w:r>
          </w:p>
        </w:tc>
        <w:tc>
          <w:tcPr>
            <w:tcW w:type="dxa" w:w="2880"/>
          </w:tcPr>
          <w:p>
            <w:r>
              <w:t>Preclinical</w:t>
            </w:r>
          </w:p>
        </w:tc>
        <w:tc>
          <w:tcPr>
            <w:tcW w:type="dxa" w:w="2880"/>
          </w:tcPr>
          <w:p>
            <w:r>
              <w:t>Some extract/hair-tonic studies exist; not equivalent to human efficacy.</w:t>
            </w:r>
          </w:p>
        </w:tc>
      </w:tr>
      <w:tr>
        <w:tc>
          <w:tcPr>
            <w:tcW w:type="dxa" w:w="2880"/>
          </w:tcPr>
          <w:p>
            <w:r>
              <w:t>Human hair-regrowth clinical evidence</w:t>
            </w:r>
          </w:p>
        </w:tc>
        <w:tc>
          <w:tcPr>
            <w:tcW w:type="dxa" w:w="2880"/>
          </w:tcPr>
          <w:p>
            <w:r>
              <w:t>Insufficient</w:t>
            </w:r>
          </w:p>
        </w:tc>
        <w:tc>
          <w:tcPr>
            <w:tcW w:type="dxa" w:w="2880"/>
          </w:tcPr>
          <w:p>
            <w:r>
              <w:t>Do not claim proven regrowth from current evidence.</w:t>
            </w:r>
          </w:p>
        </w:tc>
      </w:tr>
    </w:tbl>
    <w:p>
      <w:pPr>
        <w:pStyle w:val="Heading2"/>
      </w:pPr>
      <w:r>
        <w:t>11.2 Practical topical safety principle</w:t>
      </w:r>
    </w:p>
    <w:p>
      <w:r>
        <w:t>Essential oils are concentrated preparations and can cause irritant or allergic contact dermatitis. A formulation should use an appropriate dilution and patch-testing/dermatologic caution, especially on compromised scalp skin. The research question should be 'does this formulation improve scalp environment or hair parameters?' rather than assuming essential oil equals follicular regeneration.</w:t>
      </w:r>
    </w:p>
    <w:p>
      <w:pPr>
        <w:pStyle w:val="Heading1"/>
      </w:pPr>
      <w:r>
        <w:t>12. Integrated systems model</w:t>
      </w:r>
    </w:p>
    <w:p>
      <w:r>
        <w:t>The working hypothesis is a network, not a single nutrient:</w:t>
      </w:r>
    </w:p>
    <w:p>
      <w:r>
        <w:t>FOOD / ENERGY → protein + Zn/Fe/Cu/Mg + B vitamins + sulfur amino acids + vitamin D + omega-3 → mitochondrial ATP/redox + endocrine/metabolic environment → PI3K/AKT + AMPK + GSK-3β and related signaling → Wnt/β-catenin responsiveness → follicular stem-cell/dermal-papilla signaling → anagen growth → hair-shaft production.</w:t>
      </w:r>
    </w:p>
    <w:p>
      <w:r>
        <w:t>Zinc has a parallel metal-homeostasis/redox branch: zinc → metallothionein ↔ copper balance; sulfur amino acids → cysteine → glutathione. Topical botanicals such as ylang-ylang are placed outside this systemic chain and evaluated as scalp-microenvironment interventions.</w:t>
      </w:r>
    </w:p>
    <w:p>
      <w:pPr>
        <w:pStyle w:val="Heading1"/>
      </w:pPr>
      <w:r>
        <w:t>13. What should NOT be inferred</w:t>
      </w:r>
    </w:p>
    <w:p>
      <w:pPr>
        <w:pStyle w:val="ListBullet"/>
      </w:pPr>
      <w:r>
        <w:t>A low hair count does not establish a β-catenin deficiency.</w:t>
      </w:r>
    </w:p>
    <w:p>
      <w:pPr>
        <w:pStyle w:val="ListBullet"/>
      </w:pPr>
      <w:r>
        <w:t>A serum β-catenin measurement does not diagnose follicular Wnt activity.</w:t>
      </w:r>
    </w:p>
    <w:p>
      <w:pPr>
        <w:pStyle w:val="ListBullet"/>
      </w:pPr>
      <w:r>
        <w:t>A low-normal nutrient level does not automatically justify high-dose supplementation.</w:t>
      </w:r>
    </w:p>
    <w:p>
      <w:pPr>
        <w:pStyle w:val="ListBullet"/>
      </w:pPr>
      <w:r>
        <w:t>More zinc is not better; chronic excessive zinc can cause copper deficiency.</w:t>
      </w:r>
    </w:p>
    <w:p>
      <w:pPr>
        <w:pStyle w:val="ListBullet"/>
      </w:pPr>
      <w:r>
        <w:t>Ylang-ylang traditional use does not establish human hair-regrowth efficacy.</w:t>
      </w:r>
    </w:p>
    <w:p>
      <w:pPr>
        <w:pStyle w:val="ListBullet"/>
      </w:pPr>
      <w:r>
        <w:t>Correcting a nutritional deficiency can support hair physiology but may not reverse androgenetic, autoimmune, scarring or other primary alopecias.</w:t>
      </w:r>
    </w:p>
    <w:p>
      <w:pPr>
        <w:pStyle w:val="ListBullet"/>
      </w:pPr>
      <w:r>
        <w:t>Deliberate pharmacologic activation of Wnt/β-catenin should not be attempted as a nutritional self-treatment because pathway overactivation has pathological consequences.</w:t>
      </w:r>
    </w:p>
    <w:p>
      <w:pPr>
        <w:pStyle w:val="Heading1"/>
      </w:pPr>
      <w:r>
        <w:t>14. Primary research references / evidence anchors</w:t>
      </w:r>
    </w:p>
    <w:p>
      <w:pPr>
        <w:pStyle w:val="ListBullet"/>
      </w:pPr>
      <w:r>
        <w:t>Wnt/β-catenin signaling and hair loss: PubMed PMID 32664659 — Targeting Wnt/β-Catenin Pathway for Developing Therapies for Hair Loss.</w:t>
      </w:r>
    </w:p>
    <w:p>
      <w:pPr>
        <w:pStyle w:val="ListBullet"/>
      </w:pPr>
      <w:r>
        <w:t>Hair-follicle stem-cell signaling: PubMed PMID 35795256 — Regulation of signaling pathways in hair follicle stem cells.</w:t>
      </w:r>
    </w:p>
    <w:p>
      <w:pPr>
        <w:pStyle w:val="ListBullet"/>
      </w:pPr>
      <w:r>
        <w:t>Wnt10b and follicular regeneration: PubMed PMID 40512432 — Wnt10b Regulation of Hair Follicle Development, Regeneration, and Skin Diseases.</w:t>
      </w:r>
    </w:p>
    <w:p>
      <w:pPr>
        <w:pStyle w:val="ListBullet"/>
      </w:pPr>
      <w:r>
        <w:t>Wnt/β-catenin and androgenetic alopecia: PubMed PMID 29549490 — Androgen modulation of Wnt/β-catenin signaling in androgenetic alopecia.</w:t>
      </w:r>
    </w:p>
    <w:p>
      <w:pPr>
        <w:pStyle w:val="ListBullet"/>
      </w:pPr>
      <w:r>
        <w:t>Recent Wnt therapeutic review: PubMed PMID 40924915 — Wnt/β-Catenin Signaling Pathway Targeting Androgenetic Alopecia.</w:t>
      </w:r>
    </w:p>
    <w:p>
      <w:pPr>
        <w:pStyle w:val="ListBullet"/>
      </w:pPr>
      <w:r>
        <w:t>NIH Office of Dietary Supplements — Zinc Health Professional Fact Sheet.</w:t>
      </w:r>
    </w:p>
    <w:p>
      <w:pPr>
        <w:pStyle w:val="ListBullet"/>
      </w:pPr>
      <w:r>
        <w:t>NIH Office of Dietary Supplements — Zinc Consumer Fact Sheet.</w:t>
      </w:r>
    </w:p>
    <w:p>
      <w:pPr>
        <w:pStyle w:val="ListBullet"/>
      </w:pPr>
      <w:r>
        <w:t>NIH Office of Dietary Supplements — Copper Consumer Fact Sheet.</w:t>
      </w:r>
    </w:p>
    <w:p>
      <w:pPr>
        <w:pStyle w:val="ListBullet"/>
      </w:pPr>
      <w:r>
        <w:t>Tan et al., 2015 — Traditional Uses, Phytochemistry, and Bioactivities of Cananga odorata (Ylang-Ylang), Evidence-Based Complementary and Alternative Medicine.</w:t>
      </w:r>
    </w:p>
    <w:p>
      <w:pPr>
        <w:pStyle w:val="ListBullet"/>
      </w:pPr>
      <w:r>
        <w:t>Rahmawati et al., 2024 — Ethnomedical uses of Cananga odorata among Indonesian ethnic groups.</w:t>
      </w:r>
    </w:p>
    <w:p>
      <w:pPr>
        <w:pStyle w:val="ListBullet"/>
      </w:pPr>
      <w:r>
        <w:t>Amrita School of Ayurveda — Cananga odorata entry documenting traditional scalp/hair oil use.</w:t>
      </w:r>
    </w:p>
    <w:p>
      <w:pPr>
        <w:pStyle w:val="Heading1"/>
      </w:pPr>
      <w:r>
        <w:t>15. Provenance and the second ChatGPT conversation</w:t>
      </w:r>
    </w:p>
    <w:p>
      <w:r>
        <w:t>The user identified the inaccessible second conversation as the earlier zinc-and-hair research stream, while the ylang-ylang discussion was a separate TCM/Ayurvedic botanical research stream. This v0.2 revision incorporates those topics conceptually and supplements them with current source verification.</w:t>
      </w:r>
    </w:p>
    <w:p>
      <w:r>
        <w:t>The supplied ChatGPT /c/ URL could not be read as a conversation transcript in the current environment. Therefore this document does not claim to reproduce any unseen text from that conversation verbatim. The zinc material is reconstructed from the available prior context and strengthened with current NIH evidence; the ylang-ylang module is strengthened with current literature and an Ayurveda institutional source.</w:t>
      </w:r>
    </w:p>
    <w:p>
      <w:pPr>
        <w:pStyle w:val="Heading1"/>
      </w:pPr>
      <w:r>
        <w:t>16. Next-stage build</w:t>
      </w:r>
    </w:p>
    <w:p>
      <w:pPr>
        <w:pStyle w:val="ListNumber"/>
      </w:pPr>
      <w:r>
        <w:t>Create a lab → interpretation → food → follow-up matrix.</w:t>
      </w:r>
    </w:p>
    <w:p>
      <w:pPr>
        <w:pStyle w:val="ListNumber"/>
      </w:pPr>
      <w:r>
        <w:t>Create a nutrient-density scoring algorithm for meal-prep menus.</w:t>
      </w:r>
    </w:p>
    <w:p>
      <w:pPr>
        <w:pStyle w:val="ListNumber"/>
      </w:pPr>
      <w:r>
        <w:t>Score current Sunbasket/CookUnity/local menus against the matrix.</w:t>
      </w:r>
    </w:p>
    <w:p>
      <w:pPr>
        <w:pStyle w:val="ListNumber"/>
      </w:pPr>
      <w:r>
        <w:t>Build a 7-day meal rotation with protein and micronutrient targets.</w:t>
      </w:r>
    </w:p>
    <w:p>
      <w:pPr>
        <w:pStyle w:val="ListNumber"/>
      </w:pPr>
      <w:r>
        <w:t>Create a separate topical formulation/evidence matrix for caffeine, ylang-ylang and other botanicals.</w:t>
      </w:r>
    </w:p>
    <w:p>
      <w:pPr>
        <w:pStyle w:val="ListNumber"/>
      </w:pPr>
      <w:r>
        <w:t>Add a formal evidence grade (human RCT / human observational / animal / in vitro / traditional use) to every intervention.</w:t>
      </w:r>
    </w:p>
    <w:p/>
    <w:p>
      <w:r>
        <w:t>Clinical note: laboratory testing and supplementation decisions should be interpreted with a qualified clinician, particularly iron, zinc, copper, selenium, thyroid and high-dose vitamin supplementation.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