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Hair Follicle Optimization Research Document</w:t>
      </w:r>
    </w:p>
    <w:p>
      <w:pPr>
        <w:jc w:val="center"/>
      </w:pPr>
      <w:r>
        <w:rPr>
          <w:i/>
        </w:rPr>
        <w:t>Wnt/β-catenin signaling • nutritional/metabolic bottlenecks • laboratory framework • food strategy • meal-prep research</w:t>
      </w:r>
    </w:p>
    <w:p>
      <w:r>
        <w:t>Scope: This document consolidates the research developed in this conversation. It is a physiological/nutritional framework, not a diagnosis or a recommendation to manipulate β-catenin pharmacologically.</w:t>
      </w:r>
    </w:p>
    <w:p>
      <w:pPr>
        <w:pStyle w:val="Heading1"/>
      </w:pPr>
      <w:r>
        <w:t>1. Executive Summary</w:t>
      </w:r>
    </w:p>
    <w:p>
      <w:r>
        <w:t>β-catenin is a central effector of canonical Wnt signaling and participates in hair-follicle development, stem-cell activation, and anagen entry. For nutrition, the most defensible objective is not to maximize β-catenin, but to remove nutritional, energetic, endocrine, mitochondrial, and inflammatory constraints that could impair normal follicular signaling.</w:t>
      </w:r>
    </w:p>
    <w:p>
      <w:r>
        <w:t>The practical model is: adequate energy + protein/amino acids + iron/zinc/copper/magnesium + B-vitamin cofactors + vitamin D/thyroid sufficiency + essential fatty acids + redox support → better cellular capacity to execute regenerative signaling.</w:t>
      </w:r>
    </w:p>
    <w:p>
      <w:pPr>
        <w:pStyle w:val="Heading1"/>
      </w:pPr>
      <w:r>
        <w:t>2. Wnt/β-catenin and the Hair Follicle</w:t>
      </w:r>
    </w:p>
    <w:p>
      <w:r>
        <w:t>Canonical Wnt signaling stabilizes β-catenin by inhibiting its normal destruction machinery. Stabilized β-catenin can enter the nucleus and interact with TCF/LEF transcription factors. In hair follicles, Wnt/β-catenin signaling is a major component of follicular development and the transition into active growth.</w:t>
      </w:r>
    </w:p>
    <w:p>
      <w:pPr>
        <w:pStyle w:val="ListBullet"/>
      </w:pPr>
      <w:r>
        <w:t>Wnt ligand → Frizzled/LRP5/6 → Dishevelled</w:t>
      </w:r>
    </w:p>
    <w:p>
      <w:pPr>
        <w:pStyle w:val="ListBullet"/>
      </w:pPr>
      <w:r>
        <w:t>Destruction-complex activity falls → β-catenin becomes more stable</w:t>
      </w:r>
    </w:p>
    <w:p>
      <w:pPr>
        <w:pStyle w:val="ListBullet"/>
      </w:pPr>
      <w:r>
        <w:t>Nuclear β-catenin → TCF/LEF-dependent transcription</w:t>
      </w:r>
    </w:p>
    <w:p>
      <w:pPr>
        <w:pStyle w:val="ListBullet"/>
      </w:pPr>
      <w:r>
        <w:t>Follicular stem/progenitor-cell activation → anagen-associated growth</w:t>
      </w:r>
    </w:p>
    <w:p>
      <w:r>
        <w:t>Important nuance: more β-catenin is not automatically better. Chronic or inappropriate Wnt/β-catenin activation can be pathological. The physiological goal is appropriate timing, localization, and magnitude of signaling.</w:t>
      </w:r>
    </w:p>
    <w:p>
      <w:pPr>
        <w:pStyle w:val="Heading1"/>
      </w:pPr>
      <w:r>
        <w:t>3. Nutritional/Metabolic Bottleneck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  <w:tc>
          <w:tcPr>
            <w:tcW w:type="dxa" w:w="2880"/>
          </w:tcPr>
          <w:p>
            <w:r>
              <w:t>Evidence / priority</w:t>
            </w:r>
          </w:p>
        </w:tc>
      </w:tr>
      <w:tr>
        <w:tc>
          <w:tcPr>
            <w:tcW w:type="dxa" w:w="2880"/>
            <w:vAlign w:val="center"/>
          </w:tcPr>
          <w:p>
            <w:r>
              <w:t>Energy/calorie adequacy</w:t>
            </w:r>
          </w:p>
        </w:tc>
        <w:tc>
          <w:tcPr>
            <w:tcW w:type="dxa" w:w="2880"/>
            <w:vAlign w:val="center"/>
          </w:tcPr>
          <w:p>
            <w:r>
              <w:t>Insufficient energy can shift hair follicles toward resting/shedding states and limit proliferative capacity.</w:t>
            </w:r>
          </w:p>
        </w:tc>
        <w:tc>
          <w:tcPr>
            <w:tcW w:type="dxa" w:w="2880"/>
            <w:vAlign w:val="center"/>
          </w:tcPr>
          <w:p>
            <w: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Protein / essential amino acids</w:t>
            </w:r>
          </w:p>
        </w:tc>
        <w:tc>
          <w:tcPr>
            <w:tcW w:type="dxa" w:w="2880"/>
            <w:vAlign w:val="center"/>
          </w:tcPr>
          <w:p>
            <w:r>
              <w:t>Provides substrates for matrix-cell proliferation and keratin synthesis.</w:t>
            </w:r>
          </w:p>
        </w:tc>
        <w:tc>
          <w:tcPr>
            <w:tcW w:type="dxa" w:w="2880"/>
            <w:vAlign w:val="center"/>
          </w:tcPr>
          <w:p>
            <w: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r>
              <w:t>Iron</w:t>
            </w:r>
          </w:p>
        </w:tc>
        <w:tc>
          <w:tcPr>
            <w:tcW w:type="dxa" w:w="2880"/>
            <w:vAlign w:val="center"/>
          </w:tcPr>
          <w:p>
            <w:r>
              <w:t>Required for oxygen handling, mitochondrial processes and DNA synthesis in rapidly dividing cells; deficiency is associated with shedding.</w:t>
            </w:r>
          </w:p>
        </w:tc>
        <w:tc>
          <w:tcPr>
            <w:tcW w:type="dxa" w:w="2880"/>
            <w:vAlign w:val="center"/>
          </w:tcPr>
          <w:p>
            <w: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r>
              <w:t>Zinc</w:t>
            </w:r>
          </w:p>
        </w:tc>
        <w:tc>
          <w:tcPr>
            <w:tcW w:type="dxa" w:w="2880"/>
            <w:vAlign w:val="center"/>
          </w:tcPr>
          <w:p>
            <w:r>
              <w:t>Supports transcription, protein synthesis, epithelial biology and numerous enzymes; deficiency can affect hair.</w:t>
            </w:r>
          </w:p>
        </w:tc>
        <w:tc>
          <w:tcPr>
            <w:tcW w:type="dxa" w:w="2880"/>
            <w:vAlign w:val="center"/>
          </w:tcPr>
          <w:p>
            <w:r>
              <w:t>Moderate–high</w:t>
            </w:r>
          </w:p>
        </w:tc>
      </w:tr>
      <w:tr>
        <w:tc>
          <w:tcPr>
            <w:tcW w:type="dxa" w:w="2880"/>
            <w:vAlign w:val="center"/>
          </w:tcPr>
          <w:p>
            <w:r>
              <w:t>Vitamin D/VDR</w:t>
            </w:r>
          </w:p>
        </w:tc>
        <w:tc>
          <w:tcPr>
            <w:tcW w:type="dxa" w:w="2880"/>
            <w:vAlign w:val="center"/>
          </w:tcPr>
          <w:p>
            <w:r>
              <w:t>Hair follicles express VDR; VDR signaling participates in follicular cycling and interacts with Wnt biology.</w:t>
            </w:r>
          </w:p>
        </w:tc>
        <w:tc>
          <w:tcPr>
            <w:tcW w:type="dxa" w:w="2880"/>
            <w:vAlign w:val="center"/>
          </w:tcPr>
          <w:p>
            <w:r>
              <w:t>Moderate–high</w:t>
            </w:r>
          </w:p>
        </w:tc>
      </w:tr>
      <w:tr>
        <w:tc>
          <w:tcPr>
            <w:tcW w:type="dxa" w:w="2880"/>
            <w:vAlign w:val="center"/>
          </w:tcPr>
          <w:p>
            <w:r>
              <w:t>B1 / thiamine</w:t>
            </w:r>
          </w:p>
        </w:tc>
        <w:tc>
          <w:tcPr>
            <w:tcW w:type="dxa" w:w="2880"/>
            <w:vAlign w:val="center"/>
          </w:tcPr>
          <w:p>
            <w:r>
              <w:t>Supports pyruvate dehydrogenase and mitochondrial carbohydrate oxidation; a plausible metabolic bottleneck when deficient.</w:t>
            </w:r>
          </w:p>
        </w:tc>
        <w:tc>
          <w:tcPr>
            <w:tcW w:type="dxa" w:w="2880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2880"/>
            <w:vAlign w:val="center"/>
          </w:tcPr>
          <w:p>
            <w:r>
              <w:t>B2/B3/B5</w:t>
            </w:r>
          </w:p>
        </w:tc>
        <w:tc>
          <w:tcPr>
            <w:tcW w:type="dxa" w:w="2880"/>
            <w:vAlign w:val="center"/>
          </w:tcPr>
          <w:p>
            <w:r>
              <w:t>Cofactors in mitochondrial redox and CoA/NAD/FAD-dependent metabolism.</w:t>
            </w:r>
          </w:p>
        </w:tc>
        <w:tc>
          <w:tcPr>
            <w:tcW w:type="dxa" w:w="2880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2880"/>
            <w:vAlign w:val="center"/>
          </w:tcPr>
          <w:p>
            <w:r>
              <w:t>Magnesium</w:t>
            </w:r>
          </w:p>
        </w:tc>
        <w:tc>
          <w:tcPr>
            <w:tcW w:type="dxa" w:w="2880"/>
            <w:vAlign w:val="center"/>
          </w:tcPr>
          <w:p>
            <w:r>
              <w:t>Supports ATP-dependent reactions and many enzymes.</w:t>
            </w:r>
          </w:p>
        </w:tc>
        <w:tc>
          <w:tcPr>
            <w:tcW w:type="dxa" w:w="2880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2880"/>
            <w:vAlign w:val="center"/>
          </w:tcPr>
          <w:p>
            <w:r>
              <w:t>Selenium</w:t>
            </w:r>
          </w:p>
        </w:tc>
        <w:tc>
          <w:tcPr>
            <w:tcW w:type="dxa" w:w="2880"/>
            <w:vAlign w:val="center"/>
          </w:tcPr>
          <w:p>
            <w:r>
              <w:t>Supports selenoproteins and thyroid/redox biology; deficiency and excess are both undesirable.</w:t>
            </w:r>
          </w:p>
        </w:tc>
        <w:tc>
          <w:tcPr>
            <w:tcW w:type="dxa" w:w="2880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2880"/>
            <w:vAlign w:val="center"/>
          </w:tcPr>
          <w:p>
            <w:r>
              <w:t>Copper</w:t>
            </w:r>
          </w:p>
        </w:tc>
        <w:tc>
          <w:tcPr>
            <w:tcW w:type="dxa" w:w="2880"/>
            <w:vAlign w:val="center"/>
          </w:tcPr>
          <w:p>
            <w:r>
              <w:t>Needed for enzymes, connective-tissue biology and iron handling; excess zinc can cause copper deficiency.</w:t>
            </w:r>
          </w:p>
        </w:tc>
        <w:tc>
          <w:tcPr>
            <w:tcW w:type="dxa" w:w="2880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2880"/>
            <w:vAlign w:val="center"/>
          </w:tcPr>
          <w:p>
            <w:r>
              <w:t>Omega-3 fatty acids</w:t>
            </w:r>
          </w:p>
        </w:tc>
        <w:tc>
          <w:tcPr>
            <w:tcW w:type="dxa" w:w="2880"/>
            <w:vAlign w:val="center"/>
          </w:tcPr>
          <w:p>
            <w:r>
              <w:t>Support membrane biology and inflammatory balance; direct hair/Wnt effects in humans are not established.</w:t>
            </w:r>
          </w:p>
        </w:tc>
        <w:tc>
          <w:tcPr>
            <w:tcW w:type="dxa" w:w="2880"/>
            <w:vAlign w:val="center"/>
          </w:tcPr>
          <w:p>
            <w:r>
              <w:t>Lower/indirect</w:t>
            </w:r>
          </w:p>
        </w:tc>
      </w:tr>
      <w:tr>
        <w:tc>
          <w:tcPr>
            <w:tcW w:type="dxa" w:w="2880"/>
            <w:vAlign w:val="center"/>
          </w:tcPr>
          <w:p>
            <w:r>
              <w:t>Thyroid status</w:t>
            </w:r>
          </w:p>
        </w:tc>
        <w:tc>
          <w:tcPr>
            <w:tcW w:type="dxa" w:w="2880"/>
            <w:vAlign w:val="center"/>
          </w:tcPr>
          <w:p>
            <w:r>
              <w:t>Thyroid dysfunction can produce diffuse hair changes and interacts with iron, selenium, zinc and mitochondrial metabolism.</w:t>
            </w:r>
          </w:p>
        </w:tc>
        <w:tc>
          <w:tcPr>
            <w:tcW w:type="dxa" w:w="2880"/>
            <w:vAlign w:val="center"/>
          </w:tcPr>
          <w:p>
            <w:r>
              <w:t>High clinical relevance</w:t>
            </w:r>
          </w:p>
        </w:tc>
      </w:tr>
    </w:tbl>
    <w:p>
      <w:pPr>
        <w:pStyle w:val="Heading1"/>
      </w:pPr>
      <w:r>
        <w:t>4. Laboratory Framework</w:t>
      </w:r>
    </w:p>
    <w:p>
      <w:r>
        <w:t>Tier 1 — highest-yield baseline:</w:t>
      </w:r>
    </w:p>
    <w:p>
      <w:pPr>
        <w:pStyle w:val="ListBullet"/>
      </w:pPr>
      <w:r>
        <w:t>CBC with indices</w:t>
      </w:r>
    </w:p>
    <w:p>
      <w:pPr>
        <w:pStyle w:val="ListBullet"/>
      </w:pPr>
      <w:r>
        <w:t>Ferritin</w:t>
      </w:r>
    </w:p>
    <w:p>
      <w:pPr>
        <w:pStyle w:val="ListBullet"/>
      </w:pPr>
      <w:r>
        <w:t>Serum iron, TIBC/transferrin, transferrin saturation</w:t>
      </w:r>
    </w:p>
    <w:p>
      <w:pPr>
        <w:pStyle w:val="ListBullet"/>
      </w:pPr>
      <w:r>
        <w:t>CMP (including albumin, liver/kidney function and electrolytes)</w:t>
      </w:r>
    </w:p>
    <w:p>
      <w:pPr>
        <w:pStyle w:val="ListBullet"/>
      </w:pPr>
      <w:r>
        <w:t>TSH and free T4</w:t>
      </w:r>
    </w:p>
    <w:p>
      <w:pPr>
        <w:pStyle w:val="ListBullet"/>
      </w:pPr>
      <w:r>
        <w:t>25-OH vitamin D</w:t>
      </w:r>
    </w:p>
    <w:p>
      <w:pPr>
        <w:pStyle w:val="ListBullet"/>
      </w:pPr>
      <w:r>
        <w:t>Vitamin B12 and folate</w:t>
      </w:r>
    </w:p>
    <w:p>
      <w:pPr>
        <w:pStyle w:val="ListBullet"/>
      </w:pPr>
      <w:r>
        <w:t>Zinc</w:t>
      </w:r>
    </w:p>
    <w:p>
      <w:pPr>
        <w:pStyle w:val="ListBullet"/>
      </w:pPr>
      <w:r>
        <w:t>Copper and ceruloplasmin</w:t>
      </w:r>
    </w:p>
    <w:p>
      <w:pPr>
        <w:pStyle w:val="ListBullet"/>
      </w:pPr>
      <w:r>
        <w:t>Magnesium</w:t>
      </w:r>
    </w:p>
    <w:p>
      <w:r>
        <w:t>Tier 2 — targeted metabolic/endocrine follow-up when clinically indicated:</w:t>
      </w:r>
    </w:p>
    <w:p>
      <w:pPr>
        <w:pStyle w:val="ListBullet"/>
      </w:pPr>
      <w:r>
        <w:t>Free T3; thyroid peroxidase antibody and thyroglobulin antibody when thyroid autoimmunity is a clinical question</w:t>
      </w:r>
    </w:p>
    <w:p>
      <w:pPr>
        <w:pStyle w:val="ListBullet"/>
      </w:pPr>
      <w:r>
        <w:t>Whole-blood thiamine diphosphate (ThDP/TDP) when thiamine status is specifically being investigated</w:t>
      </w:r>
    </w:p>
    <w:p>
      <w:pPr>
        <w:pStyle w:val="ListBullet"/>
      </w:pPr>
      <w:r>
        <w:t>Methylmalonic acid and homocysteine for selected B12/folate questions</w:t>
      </w:r>
    </w:p>
    <w:p>
      <w:pPr>
        <w:pStyle w:val="ListBullet"/>
      </w:pPr>
      <w:r>
        <w:t>Fasting glucose, HbA1c, fasting insulin and lipid profile to characterize metabolic context</w:t>
      </w:r>
    </w:p>
    <w:p>
      <w:pPr>
        <w:pStyle w:val="ListBullet"/>
      </w:pPr>
      <w:r>
        <w:t>Lactate and pyruvate when a specific mitochondrial/energy-metabolism hypothesis exists</w:t>
      </w:r>
    </w:p>
    <w:p>
      <w:r>
        <w:t>Tier 3 — research/specialty testing, not routine hair-loss screening:</w:t>
      </w:r>
    </w:p>
    <w:p>
      <w:pPr>
        <w:pStyle w:val="ListBullet"/>
      </w:pPr>
      <w:r>
        <w:t>Plasma amino acids</w:t>
      </w:r>
    </w:p>
    <w:p>
      <w:pPr>
        <w:pStyle w:val="ListBullet"/>
      </w:pPr>
      <w:r>
        <w:t>Acylcarnitine profile</w:t>
      </w:r>
    </w:p>
    <w:p>
      <w:pPr>
        <w:pStyle w:val="ListBullet"/>
      </w:pPr>
      <w:r>
        <w:t>Urine organic acids</w:t>
      </w:r>
    </w:p>
    <w:p>
      <w:pPr>
        <w:pStyle w:val="ListBullet"/>
      </w:pPr>
      <w:r>
        <w:t>CoQ10/carnitine or other specialized metabolic markers</w:t>
      </w:r>
    </w:p>
    <w:p>
      <w:pPr>
        <w:pStyle w:val="ListBullet"/>
      </w:pPr>
      <w:r>
        <w:t>Follicular research measurements such as active/non-phosphorylated β-catenin, nuclear localization, AXIN2 and LEF1 expression</w:t>
      </w:r>
    </w:p>
    <w:p>
      <w:r>
        <w:t>A serum β-catenin measurement is not a validated routine clinical test for determining whether a person's hair follicle has inadequate Wnt signaling. Follicular localization and downstream pathway activity are much more informative in research settings.</w:t>
      </w:r>
    </w:p>
    <w:p>
      <w:pPr>
        <w:pStyle w:val="Heading1"/>
      </w:pPr>
      <w:r>
        <w:t>5. Nutritional Architecture</w:t>
      </w:r>
    </w:p>
    <w:p>
      <w:pPr>
        <w:pStyle w:val="Heading2"/>
      </w:pPr>
      <w:r>
        <w:t>Building materials</w:t>
      </w:r>
    </w:p>
    <w:p>
      <w:r>
        <w:t>Protein; leucine-rich complete proteins; methionine/cysteine; glycine; adequate total energy.</w:t>
      </w:r>
    </w:p>
    <w:p>
      <w:pPr>
        <w:pStyle w:val="Heading2"/>
      </w:pPr>
      <w:r>
        <w:t>Mitochondrial cofactors</w:t>
      </w:r>
    </w:p>
    <w:p>
      <w:r>
        <w:t>B1, B2, B3, B5, magnesium, iron and other micronutrients required by oxidative metabolism.</w:t>
      </w:r>
    </w:p>
    <w:p>
      <w:pPr>
        <w:pStyle w:val="Heading2"/>
      </w:pPr>
      <w:r>
        <w:t>Redox support</w:t>
      </w:r>
    </w:p>
    <w:p>
      <w:r>
        <w:t>Protein/sulfur amino acids, selenium, zinc, copper, vitamins C/E and a diverse plant-food pattern.</w:t>
      </w:r>
    </w:p>
    <w:p>
      <w:pPr>
        <w:pStyle w:val="Heading2"/>
      </w:pPr>
      <w:r>
        <w:t>Follicular signaling environment</w:t>
      </w:r>
    </w:p>
    <w:p>
      <w:r>
        <w:t>Adequate vitamin D, protein/energy, omega-3 intake and normal endocrine/metabolic physiology.</w:t>
      </w:r>
    </w:p>
    <w:p>
      <w:pPr>
        <w:pStyle w:val="Heading2"/>
      </w:pPr>
      <w:r>
        <w:t>Metabolic flexibility</w:t>
      </w:r>
    </w:p>
    <w:p>
      <w:r>
        <w:t>High-quality carbohydrates as tolerated, fiber-rich plants, legumes/whole foods, healthy fats and avoidance of chronic severe energy restriction.</w:t>
      </w:r>
    </w:p>
    <w:p>
      <w:pPr>
        <w:pStyle w:val="Heading1"/>
      </w:pPr>
      <w:r>
        <w:t>6. Meal Design Rules</w:t>
      </w:r>
    </w:p>
    <w:p>
      <w:pPr>
        <w:pStyle w:val="ListBullet"/>
      </w:pPr>
      <w:r>
        <w:t>Make protein the anchor of each substantial meal.</w:t>
      </w:r>
    </w:p>
    <w:p>
      <w:pPr>
        <w:pStyle w:val="ListBullet"/>
      </w:pPr>
      <w:r>
        <w:t>Rotate salmon, sardines, other seafood, eggs, poultry, lean beef, Greek yogurt and legumes.</w:t>
      </w:r>
    </w:p>
    <w:p>
      <w:pPr>
        <w:pStyle w:val="ListBullet"/>
      </w:pPr>
      <w:r>
        <w:t>Pair iron-rich foods with vitamin-C-rich vegetables or citrus to improve non-heme iron absorption.</w:t>
      </w:r>
    </w:p>
    <w:p>
      <w:pPr>
        <w:pStyle w:val="ListBullet"/>
      </w:pPr>
      <w:r>
        <w:t>Use mushrooms, leafy greens, legumes, seeds, colorful vegetables and herbs for micronutrient and phytochemical diversity.</w:t>
      </w:r>
    </w:p>
    <w:p>
      <w:pPr>
        <w:pStyle w:val="ListBullet"/>
      </w:pPr>
      <w:r>
        <w:t>Use extra-virgin olive oil, avocado, nuts/seeds and fatty fish as primary fat sources.</w:t>
      </w:r>
    </w:p>
    <w:p>
      <w:pPr>
        <w:pStyle w:val="ListBullet"/>
      </w:pPr>
      <w:r>
        <w:t>Avoid chronic under-eating; the follicle is an energetically expensive regenerative tissue.</w:t>
      </w:r>
    </w:p>
    <w:p>
      <w:pPr>
        <w:pStyle w:val="ListBullet"/>
      </w:pPr>
      <w:r>
        <w:t>Do not use high-dose zinc, selenium, iron or vitamin A simply because hair is thinning; excess can be harmful.</w:t>
      </w:r>
    </w:p>
    <w:p>
      <w:pPr>
        <w:pStyle w:val="Heading1"/>
      </w:pPr>
      <w:r>
        <w:t>7. High-Value Meal Archetypes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Meal</w:t>
            </w:r>
          </w:p>
        </w:tc>
        <w:tc>
          <w:tcPr>
            <w:tcW w:type="dxa" w:w="2880"/>
          </w:tcPr>
          <w:p>
            <w:r>
              <w:t>Recipe pattern</w:t>
            </w:r>
          </w:p>
        </w:tc>
        <w:tc>
          <w:tcPr>
            <w:tcW w:type="dxa" w:w="2880"/>
          </w:tcPr>
          <w:p>
            <w:r>
              <w:t>Primary physiological targets</w:t>
            </w:r>
          </w:p>
        </w:tc>
      </w:tr>
      <w:tr>
        <w:tc>
          <w:tcPr>
            <w:tcW w:type="dxa" w:w="2880"/>
          </w:tcPr>
          <w:p>
            <w:r>
              <w:t>Salmon + lentils + broccoli</w:t>
            </w:r>
          </w:p>
        </w:tc>
        <w:tc>
          <w:tcPr>
            <w:tcW w:type="dxa" w:w="2880"/>
          </w:tcPr>
          <w:p>
            <w:r>
              <w:t>Salmon, lentils, broccoli, olive oil, lemon, herbs.</w:t>
            </w:r>
          </w:p>
        </w:tc>
        <w:tc>
          <w:tcPr>
            <w:tcW w:type="dxa" w:w="2880"/>
          </w:tcPr>
          <w:p>
            <w:r>
              <w:t>Protein + EPA/DHA + selenium/B12 + iron/folate/fiber + vitamin C.</w:t>
            </w:r>
          </w:p>
        </w:tc>
      </w:tr>
      <w:tr>
        <w:tc>
          <w:tcPr>
            <w:tcW w:type="dxa" w:w="2880"/>
          </w:tcPr>
          <w:p>
            <w:r>
              <w:t>Beef + lentil + mushroom bowl</w:t>
            </w:r>
          </w:p>
        </w:tc>
        <w:tc>
          <w:tcPr>
            <w:tcW w:type="dxa" w:w="2880"/>
          </w:tcPr>
          <w:p>
            <w:r>
              <w:t>Lean beef, lentils, mushrooms, carrots, broccoli, olive oil.</w:t>
            </w:r>
          </w:p>
        </w:tc>
        <w:tc>
          <w:tcPr>
            <w:tcW w:type="dxa" w:w="2880"/>
          </w:tcPr>
          <w:p>
            <w:r>
              <w:t>Iron + zinc + B12 + protein + folate + magnesium.</w:t>
            </w:r>
          </w:p>
        </w:tc>
      </w:tr>
      <w:tr>
        <w:tc>
          <w:tcPr>
            <w:tcW w:type="dxa" w:w="2880"/>
          </w:tcPr>
          <w:p>
            <w:r>
              <w:t>Egg + mushroom + sweet potato</w:t>
            </w:r>
          </w:p>
        </w:tc>
        <w:tc>
          <w:tcPr>
            <w:tcW w:type="dxa" w:w="2880"/>
          </w:tcPr>
          <w:p>
            <w:r>
              <w:t>Eggs, mushrooms, spinach, sweet potato, avocado, pumpkin seeds.</w:t>
            </w:r>
          </w:p>
        </w:tc>
        <w:tc>
          <w:tcPr>
            <w:tcW w:type="dxa" w:w="2880"/>
          </w:tcPr>
          <w:p>
            <w:r>
              <w:t>Protein + choline + B vitamins + magnesium + zinc + potassium.</w:t>
            </w:r>
          </w:p>
        </w:tc>
      </w:tr>
      <w:tr>
        <w:tc>
          <w:tcPr>
            <w:tcW w:type="dxa" w:w="2880"/>
          </w:tcPr>
          <w:p>
            <w:r>
              <w:t>Sardine Mediterranean plate</w:t>
            </w:r>
          </w:p>
        </w:tc>
        <w:tc>
          <w:tcPr>
            <w:tcW w:type="dxa" w:w="2880"/>
          </w:tcPr>
          <w:p>
            <w:r>
              <w:t>Sardines, potato/sweet potato, broccoli, greens, olives, lemon, olive oil.</w:t>
            </w:r>
          </w:p>
        </w:tc>
        <w:tc>
          <w:tcPr>
            <w:tcW w:type="dxa" w:w="2880"/>
          </w:tcPr>
          <w:p>
            <w:r>
              <w:t>Protein + omega-3 + B12 + selenium + vitamin D + calcium.</w:t>
            </w:r>
          </w:p>
        </w:tc>
      </w:tr>
      <w:tr>
        <w:tc>
          <w:tcPr>
            <w:tcW w:type="dxa" w:w="2880"/>
          </w:tcPr>
          <w:p>
            <w:r>
              <w:t>Moroccan chicken + chickpeas</w:t>
            </w:r>
          </w:p>
        </w:tc>
        <w:tc>
          <w:tcPr>
            <w:tcW w:type="dxa" w:w="2880"/>
          </w:tcPr>
          <w:p>
            <w:r>
              <w:t>Chicken, chickpeas, carrots, greens, cumin, coriander, turmeric, lemon, olive oil.</w:t>
            </w:r>
          </w:p>
        </w:tc>
        <w:tc>
          <w:tcPr>
            <w:tcW w:type="dxa" w:w="2880"/>
          </w:tcPr>
          <w:p>
            <w:r>
              <w:t>Protein + folate + magnesium + fiber + polyphenols.</w:t>
            </w:r>
          </w:p>
        </w:tc>
      </w:tr>
      <w:tr>
        <w:tc>
          <w:tcPr>
            <w:tcW w:type="dxa" w:w="2880"/>
          </w:tcPr>
          <w:p>
            <w:r>
              <w:t>Greek yogurt + berries + seeds</w:t>
            </w:r>
          </w:p>
        </w:tc>
        <w:tc>
          <w:tcPr>
            <w:tcW w:type="dxa" w:w="2880"/>
          </w:tcPr>
          <w:p>
            <w:r>
              <w:t>Greek yogurt, berries, walnuts, pumpkin seeds, chia, cinnamon.</w:t>
            </w:r>
          </w:p>
        </w:tc>
        <w:tc>
          <w:tcPr>
            <w:tcW w:type="dxa" w:w="2880"/>
          </w:tcPr>
          <w:p>
            <w:r>
              <w:t>Protein + polyphenols + magnesium + zinc + healthy fats.</w:t>
            </w:r>
          </w:p>
        </w:tc>
      </w:tr>
    </w:tbl>
    <w:p>
      <w:pPr>
        <w:pStyle w:val="Heading1"/>
      </w:pPr>
      <w:r>
        <w:t>8. Meal-Prep Company Research</w:t>
      </w:r>
    </w:p>
    <w:p>
      <w:r>
        <w:t>The strongest fit identified in the earlier research was Sunbasket because its menu structure supports Mediterranean, pescatarian, carb-conscious and prepared-meal patterns. CookUnity was a strong chef-driven alternative. Local NJ services were identified as potentially useful for customization and freshness, but their menus should be screened meal-by-meal against the matrix above.</w:t>
      </w:r>
    </w:p>
    <w:p>
      <w:pPr>
        <w:pStyle w:val="ListBullet"/>
      </w:pPr>
      <w:r>
        <w:t>Sunbasket: Best overall national fit for a Mediterranean/seafood/whole-food framework; select salmon, legumes, vegetables and olive-oil-forward meals.</w:t>
      </w:r>
    </w:p>
    <w:p>
      <w:pPr>
        <w:pStyle w:val="ListBullet"/>
      </w:pPr>
      <w:r>
        <w:t>CookUnity: Best chef-driven convenience option; prioritize seafood, poultry, lean beef and vegetable-heavy meals.</w:t>
      </w:r>
    </w:p>
    <w:p>
      <w:pPr>
        <w:pStyle w:val="ListBullet"/>
      </w:pPr>
      <w:r>
        <w:t>Ready Strong Meals: Local high-protein meal-prep candidate; request whole-food protein + vegetable + legume/root-vegetable combinations.</w:t>
      </w:r>
    </w:p>
    <w:p>
      <w:pPr>
        <w:pStyle w:val="ListBullet"/>
      </w:pPr>
      <w:r>
        <w:t>LovEat For You: Mediterranean-oriented local candidate; useful culinary fit for olive oil, vegetables, legumes and seafood.</w:t>
      </w:r>
    </w:p>
    <w:p>
      <w:pPr>
        <w:pStyle w:val="ListBullet"/>
      </w:pPr>
      <w:r>
        <w:t>Ambrosia Meals: Premium whole-food/food-as-medicine candidate; assess current menu and nutrition labels before selecting.</w:t>
      </w:r>
    </w:p>
    <w:p>
      <w:pPr>
        <w:pStyle w:val="Heading1"/>
      </w:pPr>
      <w:r>
        <w:t>9. Evidence Boundaries</w:t>
      </w:r>
    </w:p>
    <w:p>
      <w:pPr>
        <w:pStyle w:val="ListBullet"/>
      </w:pPr>
      <w:r>
        <w:t>Strong biological evidence supports Wnt/β-catenin as an important hair-follicle signaling pathway.</w:t>
      </w:r>
    </w:p>
    <w:p>
      <w:pPr>
        <w:pStyle w:val="ListBullet"/>
      </w:pPr>
      <w:r>
        <w:t>Nutritional deficiencies can contribute to hair abnormalities or shedding, but the evidence differs substantially by nutrient and clinical context.</w:t>
      </w:r>
    </w:p>
    <w:p>
      <w:pPr>
        <w:pStyle w:val="ListBullet"/>
      </w:pPr>
      <w:r>
        <w:t>The specific human claim 'correcting nutrient X increases follicular β-catenin and regrows hair' is generally not established.</w:t>
      </w:r>
    </w:p>
    <w:p>
      <w:pPr>
        <w:pStyle w:val="ListBullet"/>
      </w:pPr>
      <w:r>
        <w:t>Correcting a documented deficiency is more evidence-based than deliberately forcing Wnt/β-catenin signaling upward.</w:t>
      </w:r>
    </w:p>
    <w:p>
      <w:pPr>
        <w:pStyle w:val="ListBullet"/>
      </w:pPr>
      <w:r>
        <w:t>Hair loss has many causes, including androgenetic alopecia, telogen effluvium, alopecia areata, thyroid disease, medication effects and inflammatory/scarring disorders; laboratory optimization should not substitute for diagnosis.</w:t>
      </w:r>
    </w:p>
    <w:p>
      <w:pPr>
        <w:pStyle w:val="Heading1"/>
      </w:pPr>
      <w:r>
        <w:t>10. Research Source / Conversation Provenance</w:t>
      </w:r>
    </w:p>
    <w:p>
      <w:r>
        <w:t>Primary conversation: the current ChatGPT thread in which we developed the Wnt/β-catenin → hair follicle → nutritional/metabolic bottleneck → laboratory → meal-prep framework.</w:t>
      </w:r>
    </w:p>
    <w:p>
      <w:r>
        <w:t>Additional conversation supplied by the user: https://chatgpt.com/c/898bdae1-2b70-4de9-ae41-81a3211afc7f</w:t>
      </w:r>
    </w:p>
    <w:p>
      <w:r>
        <w:t>Important: the supplied URL is a normal /c/ ChatGPT conversation URL, not a publicly accessible /share/ link. I could open the URL, but it only exposed the ChatGPT login shell rather than the conversation contents, so I could NOT reliably incorporate that second conversation's substantive content into this document. OpenAI's current documentation states that shared links use the /share/&lt;conversation-ID&gt; format and that anyone with access to a shared link can view its snapshot.</w:t>
      </w:r>
    </w:p>
    <w:p>
      <w:pPr>
        <w:pStyle w:val="Heading1"/>
      </w:pPr>
      <w:r>
        <w:t>11. Recommended Next Research Phase</w:t>
      </w:r>
    </w:p>
    <w:p>
      <w:pPr>
        <w:pStyle w:val="ListNumber"/>
      </w:pPr>
      <w:r>
        <w:t>Build a lab-to-food decision matrix: abnormal marker → likely bottleneck → food intervention → retest interval.</w:t>
      </w:r>
    </w:p>
    <w:p>
      <w:pPr>
        <w:pStyle w:val="ListNumber"/>
      </w:pPr>
      <w:r>
        <w:t>Score current Sunbasket/CookUnity/local meal menus for protein, iron, zinc, selenium, copper, magnesium, B vitamins, vitamin D, omega-3, fiber and plant diversity.</w:t>
      </w:r>
    </w:p>
    <w:p>
      <w:pPr>
        <w:pStyle w:val="ListNumber"/>
      </w:pPr>
      <w:r>
        <w:t>Construct a 7-day rotation that meets protein and micronutrient targets without excessive supplementation.</w:t>
      </w:r>
    </w:p>
    <w:p>
      <w:pPr>
        <w:pStyle w:val="ListNumber"/>
      </w:pPr>
      <w:r>
        <w:t>Separate evidence-supported clinical interventions from mechanistic hypotheses about Wnt/β-catenin.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