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HAIR FOLLICLE OPTIMIZATION RESEARCH</w:t>
      </w:r>
    </w:p>
    <w:p>
      <w:pPr>
        <w:pStyle w:val="Title"/>
      </w:pPr>
      <w:r>
        <w:t>Wnt/β-Catenin • Nutrition • Mitochondria • Laboratory Evaluation • Food Strategy</w:t>
      </w:r>
    </w:p>
    <w:p>
      <w:pPr>
        <w:jc w:val="center"/>
      </w:pPr>
      <w:r>
        <w:t>Working research document | Updated August 25, 2026</w:t>
      </w:r>
    </w:p>
    <w:p>
      <w:pPr>
        <w:pStyle w:val="Heading1"/>
      </w:pPr>
      <w:r>
        <w:t>Executive Summary</w:t>
      </w:r>
    </w:p>
    <w:p>
      <w:r>
        <w:t>The hair follicle is a regenerative mini-organ whose stem cells and dermal papilla are coordinated by multiple signaling systems. Wnt/β-catenin is a central pathway in follicular stem-cell activation and anagen entry. Nutritional status does not simply 'make β-catenin'; rather, adequate energy, protein, micronutrient cofactors, endocrine function and redox balance help the follicle execute regenerative signals.</w:t>
      </w:r>
    </w:p>
    <w:p>
      <w:r>
        <w:t>The strongest practical strategy is therefore: identify demonstrable deficiencies or metabolic bottlenecks; correct them; provide adequate protein and energy; and use a diverse whole-food diet rich in seafood, eggs, legumes, meat as appropriate, mushrooms, vegetables, fruit, nuts/seeds and olive oil. Direct pharmacologic manipulation of β-catenin is not a nutritional goal because excessive Wnt/β-catenin signaling can be pathological.</w:t>
      </w:r>
    </w:p>
    <w:p>
      <w:pPr>
        <w:pStyle w:val="Heading1"/>
      </w:pPr>
      <w:r>
        <w:t>1. Core Biological Model</w:t>
      </w:r>
    </w:p>
    <w:p>
      <w:r>
        <w:t>Canonical pathway:</w:t>
      </w:r>
    </w:p>
    <w:p>
      <w:r>
        <w:t>WNT ligand → Frizzled/LRP5/6 → Dishevelled → reduced β-catenin destruction → β-catenin accumulation → nuclear TCF/LEF signaling → follicular stem-cell activation → anagen → matrix proliferation → hair shaft production.</w:t>
      </w:r>
    </w:p>
    <w:p>
      <w:r>
        <w:t>Hair-follicle stem cells reside in a specialized niche, while dermal papilla cells act as a signaling hub. Wnt/β-catenin signaling is central to follicular regeneration and activation. Recent reviews continue to describe WNT, BMP and SHH as major regulators of follicle formation and cycling. (PubMed: 31100937; 32664659; 32163945; 2026 JAAD review.)</w:t>
      </w:r>
    </w:p>
    <w:p>
      <w:pPr>
        <w:pStyle w:val="Heading1"/>
      </w:pPr>
      <w:r>
        <w:t>2. Nutritional / Metabolic Bottlenecks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3408"/>
            <w:shd w:fill="EAF2F8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3408"/>
            <w:shd w:fill="EAF2F8"/>
          </w:tcPr>
          <w:p>
            <w:r>
              <w:rPr>
                <w:b/>
              </w:rPr>
              <w:t>Evidence / interpretation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Energy availability</w:t>
            </w:r>
          </w:p>
        </w:tc>
        <w:tc>
          <w:tcPr>
            <w:tcW w:type="dxa" w:w="3408"/>
            <w:vAlign w:val="center"/>
          </w:tcPr>
          <w:p>
            <w:r>
              <w:t>Follicles are highly proliferative during anagen; chronic energy restriction can impair growth.</w:t>
            </w:r>
          </w:p>
        </w:tc>
        <w:tc>
          <w:tcPr>
            <w:tcW w:type="dxa" w:w="3408"/>
            <w:vAlign w:val="center"/>
          </w:tcPr>
          <w:p>
            <w:r>
              <w:t>Strong biological rationale; hair shedding is not specific to Wnt.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Protein / essential amino acids</w:t>
            </w:r>
          </w:p>
        </w:tc>
        <w:tc>
          <w:tcPr>
            <w:tcW w:type="dxa" w:w="3408"/>
            <w:vAlign w:val="center"/>
          </w:tcPr>
          <w:p>
            <w:r>
              <w:t>Provides substrate for keratin and cellular protein synthesis; sulfur amino acids support keratin and glutathione.</w:t>
            </w:r>
          </w:p>
        </w:tc>
        <w:tc>
          <w:tcPr>
            <w:tcW w:type="dxa" w:w="3408"/>
            <w:vAlign w:val="center"/>
          </w:tcPr>
          <w:p>
            <w:r>
              <w:t>High practical importance; deficiency is more relevant than excess.</w:t>
            </w:r>
          </w:p>
        </w:tc>
      </w:tr>
      <w:tr>
        <w:tc>
          <w:tcPr>
            <w:tcW w:type="dxa" w:w="3408"/>
            <w:vAlign w:val="center"/>
          </w:tcPr>
          <w:p>
            <w:r>
              <w:t>Iron</w:t>
            </w:r>
          </w:p>
        </w:tc>
        <w:tc>
          <w:tcPr>
            <w:tcW w:type="dxa" w:w="3408"/>
            <w:vAlign w:val="center"/>
          </w:tcPr>
          <w:p>
            <w:r>
              <w:t>Required for oxygen handling, mitochondrial enzymes and DNA synthesis. Iron deficiency can impair follicular biology.</w:t>
            </w:r>
          </w:p>
        </w:tc>
        <w:tc>
          <w:tcPr>
            <w:tcW w:type="dxa" w:w="3408"/>
            <w:vAlign w:val="center"/>
          </w:tcPr>
          <w:p>
            <w:r>
              <w:t>High relevance. A 2026 mouse/cell study linked iron deficiency with oxidative stress and reduced Wnt/β-catenin signaling; human extrapolation remains limited.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Zinc</w:t>
            </w:r>
          </w:p>
        </w:tc>
        <w:tc>
          <w:tcPr>
            <w:tcW w:type="dxa" w:w="3408"/>
            <w:vAlign w:val="center"/>
          </w:tcPr>
          <w:p>
            <w:r>
              <w:t>Supports transcription, DNA/protein synthesis, epithelial biology and immune function.</w:t>
            </w:r>
          </w:p>
        </w:tc>
        <w:tc>
          <w:tcPr>
            <w:tcW w:type="dxa" w:w="3408"/>
            <w:vAlign w:val="center"/>
          </w:tcPr>
          <w:p>
            <w:r>
              <w:t>Deficiency is associated with hair abnormalities; supplementation should be deficiency-directed.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Vitamin D / VDR</w:t>
            </w:r>
          </w:p>
        </w:tc>
        <w:tc>
          <w:tcPr>
            <w:tcW w:type="dxa" w:w="3408"/>
            <w:vAlign w:val="center"/>
          </w:tcPr>
          <w:p>
            <w:r>
              <w:t>VDR is important for normal follicular stem-cell function and interacts with canonical Wnt signaling.</w:t>
            </w:r>
          </w:p>
        </w:tc>
        <w:tc>
          <w:tcPr>
            <w:tcW w:type="dxa" w:w="3408"/>
            <w:vAlign w:val="center"/>
          </w:tcPr>
          <w:p>
            <w:r>
              <w:t>Mechanistic evidence is strong; serum vitamin D is not a direct Wnt assay.</w:t>
            </w:r>
          </w:p>
        </w:tc>
      </w:tr>
      <w:tr>
        <w:tc>
          <w:tcPr>
            <w:tcW w:type="dxa" w:w="3408"/>
            <w:vAlign w:val="center"/>
          </w:tcPr>
          <w:p>
            <w:r>
              <w:t>B1 / thiamine</w:t>
            </w:r>
          </w:p>
        </w:tc>
        <w:tc>
          <w:tcPr>
            <w:tcW w:type="dxa" w:w="3408"/>
            <w:vAlign w:val="center"/>
          </w:tcPr>
          <w:p>
            <w:r>
              <w:t>ThDP is a cofactor for pyruvate dehydrogenase and other energy-metabolism enzymes.</w:t>
            </w:r>
          </w:p>
        </w:tc>
        <w:tc>
          <w:tcPr>
            <w:tcW w:type="dxa" w:w="3408"/>
            <w:vAlign w:val="center"/>
          </w:tcPr>
          <w:p>
            <w:r>
              <w:t>Important if deficiency or metabolic dysfunction is suspected; not proven as a direct hair-growth treatment.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B2/B3/B5/B6/B12/folate</w:t>
            </w:r>
          </w:p>
        </w:tc>
        <w:tc>
          <w:tcPr>
            <w:tcW w:type="dxa" w:w="3408"/>
            <w:vAlign w:val="center"/>
          </w:tcPr>
          <w:p>
            <w:r>
              <w:t>Support flavoproteins, NAD metabolism, CoA, amino-acid metabolism and DNA synthesis.</w:t>
            </w:r>
          </w:p>
        </w:tc>
        <w:tc>
          <w:tcPr>
            <w:tcW w:type="dxa" w:w="3408"/>
            <w:vAlign w:val="center"/>
          </w:tcPr>
          <w:p>
            <w:r>
              <w:t>Correct deficiency; avoid assuming high-dose supplementation improves hair.</w:t>
            </w:r>
          </w:p>
        </w:tc>
      </w:tr>
      <w:tr>
        <w:tc>
          <w:tcPr>
            <w:tcW w:type="dxa" w:w="3408"/>
            <w:vAlign w:val="center"/>
          </w:tcPr>
          <w:p>
            <w:r>
              <w:t>Magnesium</w:t>
            </w:r>
          </w:p>
        </w:tc>
        <w:tc>
          <w:tcPr>
            <w:tcW w:type="dxa" w:w="3408"/>
            <w:vAlign w:val="center"/>
          </w:tcPr>
          <w:p>
            <w:r>
              <w:t>Supports ATP-dependent reactions and numerous enzymes.</w:t>
            </w:r>
          </w:p>
        </w:tc>
        <w:tc>
          <w:tcPr>
            <w:tcW w:type="dxa" w:w="3408"/>
            <w:vAlign w:val="center"/>
          </w:tcPr>
          <w:p>
            <w:r>
              <w:t>Useful nutritional adequacy target; serum magnesium is an imperfect status marker.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Selenium</w:t>
            </w:r>
          </w:p>
        </w:tc>
        <w:tc>
          <w:tcPr>
            <w:tcW w:type="dxa" w:w="3408"/>
            <w:vAlign w:val="center"/>
          </w:tcPr>
          <w:p>
            <w:r>
              <w:t>Required for selenoproteins involved in redox and thyroid physiology.</w:t>
            </w:r>
          </w:p>
        </w:tc>
        <w:tc>
          <w:tcPr>
            <w:tcW w:type="dxa" w:w="3408"/>
            <w:vAlign w:val="center"/>
          </w:tcPr>
          <w:p>
            <w:r>
              <w:t>Deficiency and excess can both be harmful.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Copper</w:t>
            </w:r>
          </w:p>
        </w:tc>
        <w:tc>
          <w:tcPr>
            <w:tcW w:type="dxa" w:w="3408"/>
            <w:vAlign w:val="center"/>
          </w:tcPr>
          <w:p>
            <w:r>
              <w:t>Important for connective tissue, iron handling and enzymes.</w:t>
            </w:r>
          </w:p>
        </w:tc>
        <w:tc>
          <w:tcPr>
            <w:tcW w:type="dxa" w:w="3408"/>
            <w:vAlign w:val="center"/>
          </w:tcPr>
          <w:p>
            <w:r>
              <w:t>Especially important when zinc intake is high; test if clinically indicated.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Omega-3 fatty acids</w:t>
            </w:r>
          </w:p>
        </w:tc>
        <w:tc>
          <w:tcPr>
            <w:tcW w:type="dxa" w:w="3408"/>
            <w:vAlign w:val="center"/>
          </w:tcPr>
          <w:p>
            <w:r>
              <w:t>Support membrane composition and inflammatory signaling.</w:t>
            </w:r>
          </w:p>
        </w:tc>
        <w:tc>
          <w:tcPr>
            <w:tcW w:type="dxa" w:w="3408"/>
            <w:vAlign w:val="center"/>
          </w:tcPr>
          <w:p>
            <w:r>
              <w:t>Good dietary target; direct Wnt effects in human hair are not established.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Redox balance</w:t>
            </w:r>
          </w:p>
        </w:tc>
        <w:tc>
          <w:tcPr>
            <w:tcW w:type="dxa" w:w="3408"/>
            <w:vAlign w:val="center"/>
          </w:tcPr>
          <w:p>
            <w:r>
              <w:t>ROS participate in signaling, but excessive oxidative stress can damage mitochondria and cells.</w:t>
            </w:r>
          </w:p>
        </w:tc>
        <w:tc>
          <w:tcPr>
            <w:tcW w:type="dxa" w:w="3408"/>
            <w:vAlign w:val="center"/>
          </w:tcPr>
          <w:p>
            <w:r>
              <w:t>Treat underlying deficiency/inflammation rather than megadosing antioxidants.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Thyroid physiology</w:t>
            </w:r>
          </w:p>
        </w:tc>
        <w:tc>
          <w:tcPr>
            <w:tcW w:type="dxa" w:w="3408"/>
            <w:vAlign w:val="center"/>
          </w:tcPr>
          <w:p>
            <w:r>
              <w:t>Thyroid hormones affect metabolic and follicular biology.</w:t>
            </w:r>
          </w:p>
        </w:tc>
        <w:tc>
          <w:tcPr>
            <w:tcW w:type="dxa" w:w="3408"/>
            <w:vAlign w:val="center"/>
          </w:tcPr>
          <w:p>
            <w:r>
              <w:t>Evaluate when symptoms/history or diffuse shedding suggests endocrine involvement.</w:t>
            </w:r>
          </w:p>
        </w:tc>
      </w:tr>
    </w:tbl>
    <w:p>
      <w:pPr>
        <w:pStyle w:val="Heading1"/>
      </w:pPr>
      <w:r>
        <w:t>3. Recommended Laboratory Framework</w:t>
      </w:r>
    </w:p>
    <w:p>
      <w:r>
        <w:t>Use a tiered approach. The goal is to identify actionable bottlenecks rather than order every possible biomarker.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408"/>
            <w:shd w:fill="EAF2F8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3408"/>
            <w:shd w:fill="EAF2F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Core</w:t>
            </w:r>
          </w:p>
        </w:tc>
        <w:tc>
          <w:tcPr>
            <w:tcW w:type="dxa" w:w="3408"/>
            <w:vAlign w:val="center"/>
          </w:tcPr>
          <w:p>
            <w:r>
              <w:t>CBC; ferritin; serum iron; TIBC/transferrin; transferrin saturation; CMP; TSH; free T4; 25-OH vitamin D</w:t>
            </w:r>
          </w:p>
        </w:tc>
        <w:tc>
          <w:tcPr>
            <w:tcW w:type="dxa" w:w="3408"/>
            <w:vAlign w:val="center"/>
          </w:tcPr>
          <w:p>
            <w:r>
              <w:t>Anemia/iron status, organ function, thyroid screening and vitamin-D status.</w:t>
            </w:r>
          </w:p>
        </w:tc>
      </w:tr>
      <w:tr>
        <w:tc>
          <w:tcPr>
            <w:tcW w:type="dxa" w:w="3408"/>
            <w:vAlign w:val="center"/>
          </w:tcPr>
          <w:p>
            <w:r>
              <w:t>Micronutrients</w:t>
            </w:r>
          </w:p>
        </w:tc>
        <w:tc>
          <w:tcPr>
            <w:tcW w:type="dxa" w:w="3408"/>
            <w:vAlign w:val="center"/>
          </w:tcPr>
          <w:p>
            <w:r>
              <w:t>Zinc; copper; ceruloplasmin; magnesium; B12; folate</w:t>
            </w:r>
          </w:p>
        </w:tc>
        <w:tc>
          <w:tcPr>
            <w:tcW w:type="dxa" w:w="3408"/>
            <w:vAlign w:val="center"/>
          </w:tcPr>
          <w:p>
            <w:r>
              <w:t>Identify plausible nutritional/cofactor problems.</w:t>
            </w:r>
          </w:p>
        </w:tc>
      </w:tr>
      <w:tr>
        <w:tc>
          <w:tcPr>
            <w:tcW w:type="dxa" w:w="3408"/>
            <w:vAlign w:val="center"/>
          </w:tcPr>
          <w:p>
            <w:r>
              <w:t>Thyroid expansion</w:t>
            </w:r>
          </w:p>
        </w:tc>
        <w:tc>
          <w:tcPr>
            <w:tcW w:type="dxa" w:w="3408"/>
            <w:vAlign w:val="center"/>
          </w:tcPr>
          <w:p>
            <w:r>
              <w:t>Free T3; TPO antibody; thyroglobulin antibody when clinically indicated</w:t>
            </w:r>
          </w:p>
        </w:tc>
        <w:tc>
          <w:tcPr>
            <w:tcW w:type="dxa" w:w="3408"/>
            <w:vAlign w:val="center"/>
          </w:tcPr>
          <w:p>
            <w:r>
              <w:t>Clarify thyroid physiology/autoimmunity when appropriate.</w:t>
            </w:r>
          </w:p>
        </w:tc>
      </w:tr>
      <w:tr>
        <w:tc>
          <w:tcPr>
            <w:tcW w:type="dxa" w:w="3408"/>
            <w:vAlign w:val="center"/>
          </w:tcPr>
          <w:p>
            <w:r>
              <w:t>Metabolic</w:t>
            </w:r>
          </w:p>
        </w:tc>
        <w:tc>
          <w:tcPr>
            <w:tcW w:type="dxa" w:w="3408"/>
            <w:vAlign w:val="center"/>
          </w:tcPr>
          <w:p>
            <w:r>
              <w:t>Fasting glucose; HbA1c; fasting insulin; lipid panel</w:t>
            </w:r>
          </w:p>
        </w:tc>
        <w:tc>
          <w:tcPr>
            <w:tcW w:type="dxa" w:w="3408"/>
            <w:vAlign w:val="center"/>
          </w:tcPr>
          <w:p>
            <w:r>
              <w:t>Context for insulin/IGF-1, metabolic health and nutrient signaling.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B1/mitochondrial hypothesis</w:t>
            </w:r>
          </w:p>
        </w:tc>
        <w:tc>
          <w:tcPr>
            <w:tcW w:type="dxa" w:w="3408"/>
            <w:vAlign w:val="center"/>
          </w:tcPr>
          <w:p>
            <w:r>
              <w:t>Whole-blood thiamine diphosphate (ThDP/TDP); lactate; pyruvate; MMA; homocysteine</w:t>
            </w:r>
          </w:p>
        </w:tc>
        <w:tc>
          <w:tcPr>
            <w:tcW w:type="dxa" w:w="3408"/>
            <w:vAlign w:val="center"/>
          </w:tcPr>
          <w:p>
            <w:r>
              <w:t>Investigate specific B1/B-vitamin/energy-metabolism hypotheses.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Specialized / research</w:t>
            </w:r>
          </w:p>
        </w:tc>
        <w:tc>
          <w:tcPr>
            <w:tcW w:type="dxa" w:w="3408"/>
            <w:vAlign w:val="center"/>
          </w:tcPr>
          <w:p>
            <w:r>
              <w:t>Plasma amino acids; acylcarnitine profile; urine organic acids; CoQ10; carnitine</w:t>
            </w:r>
          </w:p>
        </w:tc>
        <w:tc>
          <w:tcPr>
            <w:tcW w:type="dxa" w:w="3408"/>
            <w:vAlign w:val="center"/>
          </w:tcPr>
          <w:p>
            <w:r>
              <w:t>Reserve for a clinician-directed metabolic workup; not routine hair-loss tests.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Research Wnt</w:t>
            </w:r>
          </w:p>
        </w:tc>
        <w:tc>
          <w:tcPr>
            <w:tcW w:type="dxa" w:w="3408"/>
            <w:vAlign w:val="center"/>
          </w:tcPr>
          <w:p>
            <w:r>
              <w:t>Active/non-phosphorylated β-catenin; nuclear localization; AXIN2; LEF1/TCF and pathway components</w:t>
            </w:r>
          </w:p>
        </w:tc>
        <w:tc>
          <w:tcPr>
            <w:tcW w:type="dxa" w:w="3408"/>
            <w:vAlign w:val="center"/>
          </w:tcPr>
          <w:p>
            <w:r>
              <w:t>Research-level assessment of pathway activity; not a routine blood panel.</w:t>
            </w:r>
          </w:p>
        </w:tc>
      </w:tr>
    </w:tbl>
    <w:p>
      <w:r>
        <w:t>Important: a serum β-catenin measurement is not a reliable proxy for what is happening inside hair-follicle stem cells. Tissue localization and downstream transcription are much closer to pathway activity.</w:t>
      </w:r>
    </w:p>
    <w:p>
      <w:pPr>
        <w:pStyle w:val="Heading1"/>
      </w:pPr>
      <w:r>
        <w:t>4. How the B1 → Mitochondria Axis Fits</w:t>
      </w:r>
    </w:p>
    <w:p>
      <w:r>
        <w:t>Thiamine diphosphate is the active B1 form and a cofactor for the pyruvate dehydrogenase complex, which converts pyruvate to acetyl-CoA. That connects carbohydrate metabolism to the TCA cycle and downstream oxidative phosphorylation. The hypothesis is not 'B1 directly raises β-catenin'; rather, impaired energy/redox metabolism may reduce the follicle's ability to execute a regenerative program.</w:t>
      </w:r>
    </w:p>
    <w:p>
      <w:r>
        <w:t>Conceptual chain: B1/ThDP → PDH → acetyl-CoA → TCA → NADH/FADH₂ → electron transport → ATP/redox → cellular proliferation and signaling.</w:t>
      </w:r>
    </w:p>
    <w:p>
      <w:pPr>
        <w:pStyle w:val="Heading1"/>
      </w:pPr>
      <w:r>
        <w:t>5. Food Architecture</w:t>
      </w:r>
    </w:p>
    <w:p>
      <w:r>
        <w:t>Build meals around five objectives:</w:t>
      </w:r>
    </w:p>
    <w:p>
      <w:pPr>
        <w:pStyle w:val="ListBullet"/>
      </w:pPr>
      <w:r>
        <w:t>Protein and essential amino acids: fish, eggs, poultry, lean meat, Greek yogurt, legumes and soy foods as tolerated.</w:t>
      </w:r>
    </w:p>
    <w:p>
      <w:pPr>
        <w:pStyle w:val="ListBullet"/>
      </w:pPr>
      <w:r>
        <w:t>Mineral density: seafood, lean beef, legumes, pumpkin seeds, nuts, eggs and leafy vegetables.</w:t>
      </w:r>
    </w:p>
    <w:p>
      <w:pPr>
        <w:pStyle w:val="ListBullet"/>
      </w:pPr>
      <w:r>
        <w:t>B-vitamin/mitochondrial support: meat/fish/eggs, legumes, whole grains or tubers, mushrooms, nuts/seeds.</w:t>
      </w:r>
    </w:p>
    <w:p>
      <w:pPr>
        <w:pStyle w:val="ListBullet"/>
      </w:pPr>
      <w:r>
        <w:t>Redox support: colorful vegetables and fruit, sulfur-containing vegetables, adequate protein, olive oil, nuts/seeds and selenium-containing foods.</w:t>
      </w:r>
    </w:p>
    <w:p>
      <w:pPr>
        <w:pStyle w:val="ListBullet"/>
      </w:pPr>
      <w:r>
        <w:t>Metabolic stability: minimally processed foods, fiber, diverse plants, adequate energy and appropriate carbohydrate portions.</w:t>
      </w:r>
    </w:p>
    <w:p>
      <w:pPr>
        <w:pStyle w:val="Heading1"/>
      </w:pPr>
      <w:r>
        <w:t>6. High-Value Meal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>
              <w:rPr>
                <w:b/>
              </w:rPr>
              <w:t>Meal</w:t>
            </w:r>
          </w:p>
        </w:tc>
        <w:tc>
          <w:tcPr>
            <w:tcW w:type="dxa" w:w="3408"/>
            <w:shd w:fill="EAF2F8"/>
          </w:tcPr>
          <w:p>
            <w:r>
              <w:rPr>
                <w:b/>
              </w:rPr>
              <w:t>Core ingredients</w:t>
            </w:r>
          </w:p>
        </w:tc>
        <w:tc>
          <w:tcPr>
            <w:tcW w:type="dxa" w:w="3408"/>
            <w:shd w:fill="EAF2F8"/>
          </w:tcPr>
          <w:p>
            <w:r>
              <w:rPr>
                <w:b/>
              </w:rPr>
              <w:t>Primary nutritional role</w:t>
            </w:r>
          </w:p>
        </w:tc>
      </w:tr>
      <w:tr>
        <w:tc>
          <w:tcPr>
            <w:tcW w:type="dxa" w:w="3408"/>
            <w:vAlign w:val="center"/>
          </w:tcPr>
          <w:p>
            <w:r>
              <w:t>Salmon + lentils bowl</w:t>
            </w:r>
          </w:p>
        </w:tc>
        <w:tc>
          <w:tcPr>
            <w:tcW w:type="dxa" w:w="3408"/>
            <w:vAlign w:val="center"/>
          </w:tcPr>
          <w:p>
            <w:r>
              <w:t>Salmon; lentils; broccoli; mushrooms; olive oil; lemon; herbs</w:t>
            </w:r>
          </w:p>
        </w:tc>
        <w:tc>
          <w:tcPr>
            <w:tcW w:type="dxa" w:w="3408"/>
            <w:vAlign w:val="center"/>
          </w:tcPr>
          <w:p>
            <w:r>
              <w:t>Protein + EPA/DHA + selenium + B12 + iron/folate + fiber</w:t>
            </w:r>
          </w:p>
        </w:tc>
      </w:tr>
      <w:tr>
        <w:tc>
          <w:tcPr>
            <w:tcW w:type="dxa" w:w="3408"/>
            <w:vAlign w:val="center"/>
          </w:tcPr>
          <w:p>
            <w:r>
              <w:t>Beef + lentil mushroom bowl</w:t>
            </w:r>
          </w:p>
        </w:tc>
        <w:tc>
          <w:tcPr>
            <w:tcW w:type="dxa" w:w="3408"/>
            <w:vAlign w:val="center"/>
          </w:tcPr>
          <w:p>
            <w:r>
              <w:t>Lean beef; lentils; mushrooms; carrots; broccoli; olive oil</w:t>
            </w:r>
          </w:p>
        </w:tc>
        <w:tc>
          <w:tcPr>
            <w:tcW w:type="dxa" w:w="3408"/>
            <w:vAlign w:val="center"/>
          </w:tcPr>
          <w:p>
            <w:r>
              <w:t>Iron + zinc + B12 + protein + B vitamins</w:t>
            </w:r>
          </w:p>
        </w:tc>
      </w:tr>
      <w:tr>
        <w:tc>
          <w:tcPr>
            <w:tcW w:type="dxa" w:w="3408"/>
            <w:vAlign w:val="center"/>
          </w:tcPr>
          <w:p>
            <w:r>
              <w:t>Egg/mushroom breakfast</w:t>
            </w:r>
          </w:p>
        </w:tc>
        <w:tc>
          <w:tcPr>
            <w:tcW w:type="dxa" w:w="3408"/>
            <w:vAlign w:val="center"/>
          </w:tcPr>
          <w:p>
            <w:r>
              <w:t>Eggs; mushrooms; spinach; sweet potato; avocado; pumpkin seeds</w:t>
            </w:r>
          </w:p>
        </w:tc>
        <w:tc>
          <w:tcPr>
            <w:tcW w:type="dxa" w:w="3408"/>
            <w:vAlign w:val="center"/>
          </w:tcPr>
          <w:p>
            <w:r>
              <w:t>Protein + choline + B vitamins + magnesium + zinc</w:t>
            </w:r>
          </w:p>
        </w:tc>
      </w:tr>
      <w:tr>
        <w:tc>
          <w:tcPr>
            <w:tcW w:type="dxa" w:w="3408"/>
            <w:vAlign w:val="center"/>
          </w:tcPr>
          <w:p>
            <w:r>
              <w:t>Sardine Mediterranean plate</w:t>
            </w:r>
          </w:p>
        </w:tc>
        <w:tc>
          <w:tcPr>
            <w:tcW w:type="dxa" w:w="3408"/>
            <w:vAlign w:val="center"/>
          </w:tcPr>
          <w:p>
            <w:r>
              <w:t>Sardines; potato/sweet potato; broccoli; arugula; olives; lemon</w:t>
            </w:r>
          </w:p>
        </w:tc>
        <w:tc>
          <w:tcPr>
            <w:tcW w:type="dxa" w:w="3408"/>
            <w:vAlign w:val="center"/>
          </w:tcPr>
          <w:p>
            <w:r>
              <w:t>Protein + omega-3 + B12 + selenium + vitamin D + calcium</w:t>
            </w:r>
          </w:p>
        </w:tc>
      </w:tr>
      <w:tr>
        <w:tc>
          <w:tcPr>
            <w:tcW w:type="dxa" w:w="3408"/>
            <w:vAlign w:val="center"/>
          </w:tcPr>
          <w:p>
            <w:r>
              <w:t>Moroccan chicken + chickpeas</w:t>
            </w:r>
          </w:p>
        </w:tc>
        <w:tc>
          <w:tcPr>
            <w:tcW w:type="dxa" w:w="3408"/>
            <w:vAlign w:val="center"/>
          </w:tcPr>
          <w:p>
            <w:r>
              <w:t>Chicken; chickpeas; carrots; greens; cumin; coriander; lemon; olive oil</w:t>
            </w:r>
          </w:p>
        </w:tc>
        <w:tc>
          <w:tcPr>
            <w:tcW w:type="dxa" w:w="3408"/>
            <w:vAlign w:val="center"/>
          </w:tcPr>
          <w:p>
            <w:r>
              <w:t>Protein + folate + magnesium + fiber + polyphenols</w:t>
            </w:r>
          </w:p>
        </w:tc>
      </w:tr>
      <w:tr>
        <w:tc>
          <w:tcPr>
            <w:tcW w:type="dxa" w:w="3408"/>
            <w:vAlign w:val="center"/>
          </w:tcPr>
          <w:p>
            <w:r>
              <w:t>Shrimp + quinoa bowl</w:t>
            </w:r>
          </w:p>
        </w:tc>
        <w:tc>
          <w:tcPr>
            <w:tcW w:type="dxa" w:w="3408"/>
            <w:vAlign w:val="center"/>
          </w:tcPr>
          <w:p>
            <w:r>
              <w:t>Shrimp; quinoa; broccoli; mushrooms; avocado; herbs/citrus</w:t>
            </w:r>
          </w:p>
        </w:tc>
        <w:tc>
          <w:tcPr>
            <w:tcW w:type="dxa" w:w="3408"/>
            <w:vAlign w:val="center"/>
          </w:tcPr>
          <w:p>
            <w:r>
              <w:t>Protein + minerals + fiber</w:t>
            </w:r>
          </w:p>
        </w:tc>
      </w:tr>
      <w:tr>
        <w:tc>
          <w:tcPr>
            <w:tcW w:type="dxa" w:w="3408"/>
            <w:vAlign w:val="center"/>
          </w:tcPr>
          <w:p>
            <w:r>
              <w:t>Greek yogurt bowl</w:t>
            </w:r>
          </w:p>
        </w:tc>
        <w:tc>
          <w:tcPr>
            <w:tcW w:type="dxa" w:w="3408"/>
            <w:vAlign w:val="center"/>
          </w:tcPr>
          <w:p>
            <w:r>
              <w:t>Greek yogurt; berries; walnuts; pumpkin seeds; chia; cinnamon</w:t>
            </w:r>
          </w:p>
        </w:tc>
        <w:tc>
          <w:tcPr>
            <w:tcW w:type="dxa" w:w="3408"/>
            <w:vAlign w:val="center"/>
          </w:tcPr>
          <w:p>
            <w:r>
              <w:t>Protein + polyphenols + magnesium + zinc + healthy fats</w:t>
            </w:r>
          </w:p>
        </w:tc>
      </w:tr>
    </w:tbl>
    <w:p>
      <w:pPr>
        <w:pStyle w:val="Heading1"/>
      </w:pPr>
      <w:r>
        <w:t>7. Meal-Prep Company Selection Framework</w:t>
      </w:r>
    </w:p>
    <w:p>
      <w:r>
        <w:t>Instead of choosing meals marketed as 'hair health,' select meals that repeatedly satisfy the nutritional architecture above. Prioritize seafood, eggs, lean meat, legumes, mushrooms and vegetables; favor olive-oil-forward sauces; and avoid chronically under-caloried plans.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>
              <w:rPr>
                <w:b/>
              </w:rPr>
              <w:t>Service / type</w:t>
            </w:r>
          </w:p>
        </w:tc>
        <w:tc>
          <w:tcPr>
            <w:tcW w:type="dxa" w:w="3408"/>
            <w:shd w:fill="EAF2F8"/>
          </w:tcPr>
          <w:p>
            <w:r>
              <w:rPr>
                <w:b/>
              </w:rPr>
              <w:t>Best use</w:t>
            </w:r>
          </w:p>
        </w:tc>
        <w:tc>
          <w:tcPr>
            <w:tcW w:type="dxa" w:w="3408"/>
            <w:shd w:fill="EAF2F8"/>
          </w:tcPr>
          <w:p>
            <w:r>
              <w:rPr>
                <w:b/>
              </w:rPr>
              <w:t>What to select</w:t>
            </w:r>
          </w:p>
        </w:tc>
      </w:tr>
      <w:tr>
        <w:tc>
          <w:tcPr>
            <w:tcW w:type="dxa" w:w="3408"/>
            <w:vAlign w:val="center"/>
          </w:tcPr>
          <w:p>
            <w:r>
              <w:t>Sunbasket</w:t>
            </w:r>
          </w:p>
        </w:tc>
        <w:tc>
          <w:tcPr>
            <w:tcW w:type="dxa" w:w="3408"/>
            <w:vAlign w:val="center"/>
          </w:tcPr>
          <w:p>
            <w:r>
              <w:t>Strong national fit for Mediterranean-style meal structure</w:t>
            </w:r>
          </w:p>
        </w:tc>
        <w:tc>
          <w:tcPr>
            <w:tcW w:type="dxa" w:w="3408"/>
            <w:vAlign w:val="center"/>
          </w:tcPr>
          <w:p>
            <w:r>
              <w:t>Salmon/seafood + lentils/beans + vegetables; chicken + legumes/whole-food sides.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CookUnity</w:t>
            </w:r>
          </w:p>
        </w:tc>
        <w:tc>
          <w:tcPr>
            <w:tcW w:type="dxa" w:w="3408"/>
            <w:vAlign w:val="center"/>
          </w:tcPr>
          <w:p>
            <w:r>
              <w:t>Chef-driven prepared meals and variety</w:t>
            </w:r>
          </w:p>
        </w:tc>
        <w:tc>
          <w:tcPr>
            <w:tcW w:type="dxa" w:w="3408"/>
            <w:vAlign w:val="center"/>
          </w:tcPr>
          <w:p>
            <w:r>
              <w:t>High-protein seafood, chicken or beef meals with substantial vegetables.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Local high-protein meal prep</w:t>
            </w:r>
          </w:p>
        </w:tc>
        <w:tc>
          <w:tcPr>
            <w:tcW w:type="dxa" w:w="3408"/>
            <w:vAlign w:val="center"/>
          </w:tcPr>
          <w:p>
            <w:r>
              <w:t>Freshness and customization</w:t>
            </w:r>
          </w:p>
        </w:tc>
        <w:tc>
          <w:tcPr>
            <w:tcW w:type="dxa" w:w="3408"/>
            <w:vAlign w:val="center"/>
          </w:tcPr>
          <w:p>
            <w:r>
              <w:t>Request salmon/fish, chicken or lean beef + vegetables + legumes/tubers; specify desired protein target.</w:t>
            </w:r>
          </w:p>
        </w:tc>
      </w:tr>
      <w:tr>
        <w:tc>
          <w:tcPr>
            <w:tcW w:type="dxa" w:w="3408"/>
            <w:vAlign w:val="center"/>
          </w:tcPr>
          <w:p>
            <w:r>
              <w:t>Mediterranean-focused local prep</w:t>
            </w:r>
          </w:p>
        </w:tc>
        <w:tc>
          <w:tcPr>
            <w:tcW w:type="dxa" w:w="3408"/>
            <w:vAlign w:val="center"/>
          </w:tcPr>
          <w:p>
            <w:r>
              <w:t>Culinary adherence</w:t>
            </w:r>
          </w:p>
        </w:tc>
        <w:tc>
          <w:tcPr>
            <w:tcW w:type="dxa" w:w="3408"/>
            <w:vAlign w:val="center"/>
          </w:tcPr>
          <w:p>
            <w:r>
              <w:t>Fish, legumes, vegetables, olive oil, herbs, yogurt/tahini-based meals.</w:t>
            </w:r>
          </w:p>
        </w:tc>
      </w:tr>
    </w:tbl>
    <w:p>
      <w:r>
        <w:t>The company recommendations are a starting shortlist, not clinical endorsements. Menus and formulations change; inspect the current ingredient list and nutrition panel before ordering.</w:t>
      </w:r>
    </w:p>
    <w:p>
      <w:pPr>
        <w:pStyle w:val="Heading1"/>
      </w:pPr>
      <w:r>
        <w:t>8. Practical Weekly Rotation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rPr>
                <w:b/>
              </w:rPr>
              <w:t>Day</w:t>
            </w:r>
          </w:p>
        </w:tc>
        <w:tc>
          <w:tcPr>
            <w:tcW w:type="dxa" w:w="2556"/>
            <w:shd w:fill="EAF2F8"/>
          </w:tcPr>
          <w:p>
            <w:r>
              <w:rPr>
                <w:b/>
              </w:rPr>
              <w:t>Lunch</w:t>
            </w:r>
          </w:p>
        </w:tc>
        <w:tc>
          <w:tcPr>
            <w:tcW w:type="dxa" w:w="2556"/>
            <w:shd w:fill="EAF2F8"/>
          </w:tcPr>
          <w:p>
            <w:r>
              <w:rPr>
                <w:b/>
              </w:rPr>
              <w:t>Dinner</w:t>
            </w:r>
          </w:p>
        </w:tc>
        <w:tc>
          <w:tcPr>
            <w:tcW w:type="dxa" w:w="2556"/>
            <w:shd w:fill="EAF2F8"/>
          </w:tcPr>
          <w:p>
            <w:r>
              <w:rPr>
                <w:b/>
              </w:rPr>
              <w:t>Optional breakfast/snack</w:t>
            </w:r>
          </w:p>
        </w:tc>
      </w:tr>
      <w:tr>
        <w:tc>
          <w:tcPr>
            <w:tcW w:type="dxa" w:w="2556"/>
            <w:vAlign w:val="center"/>
          </w:tcPr>
          <w:p>
            <w:r>
              <w:t>Mon</w:t>
            </w:r>
          </w:p>
        </w:tc>
        <w:tc>
          <w:tcPr>
            <w:tcW w:type="dxa" w:w="2556"/>
            <w:vAlign w:val="center"/>
          </w:tcPr>
          <w:p>
            <w:r>
              <w:t>Salmon + lentils + broccoli</w:t>
            </w:r>
          </w:p>
        </w:tc>
        <w:tc>
          <w:tcPr>
            <w:tcW w:type="dxa" w:w="2556"/>
            <w:vAlign w:val="center"/>
          </w:tcPr>
          <w:p>
            <w:r>
              <w:t>Chicken + chickpeas + greens</w:t>
            </w:r>
          </w:p>
        </w:tc>
        <w:tc>
          <w:tcPr>
            <w:tcW w:type="dxa" w:w="2556"/>
            <w:vAlign w:val="center"/>
          </w:tcPr>
          <w:p>
            <w:r>
              <w:t>Greek yogurt + berries + seeds</w:t>
            </w:r>
          </w:p>
        </w:tc>
      </w:tr>
      <w:tr>
        <w:tc>
          <w:tcPr>
            <w:tcW w:type="dxa" w:w="2556"/>
            <w:vAlign w:val="center"/>
          </w:tcPr>
          <w:p>
            <w:r>
              <w:t>Tue</w:t>
            </w:r>
          </w:p>
        </w:tc>
        <w:tc>
          <w:tcPr>
            <w:tcW w:type="dxa" w:w="2556"/>
            <w:vAlign w:val="center"/>
          </w:tcPr>
          <w:p>
            <w:r>
              <w:t>Beef + mushroom + lentil bowl</w:t>
            </w:r>
          </w:p>
        </w:tc>
        <w:tc>
          <w:tcPr>
            <w:tcW w:type="dxa" w:w="2556"/>
            <w:vAlign w:val="center"/>
          </w:tcPr>
          <w:p>
            <w:r>
              <w:t>Shrimp + quinoa + vegetables</w:t>
            </w:r>
          </w:p>
        </w:tc>
        <w:tc>
          <w:tcPr>
            <w:tcW w:type="dxa" w:w="2556"/>
            <w:vAlign w:val="center"/>
          </w:tcPr>
          <w:p>
            <w:r>
              <w:t>Eggs + mushrooms + sweet potato</w:t>
            </w:r>
          </w:p>
        </w:tc>
      </w:tr>
      <w:tr>
        <w:tc>
          <w:tcPr>
            <w:tcW w:type="dxa" w:w="2556"/>
            <w:vAlign w:val="center"/>
          </w:tcPr>
          <w:p>
            <w:r>
              <w:t>Wed</w:t>
            </w:r>
          </w:p>
        </w:tc>
        <w:tc>
          <w:tcPr>
            <w:tcW w:type="dxa" w:w="2556"/>
            <w:vAlign w:val="center"/>
          </w:tcPr>
          <w:p>
            <w:r>
              <w:t>Sardines + potato + broccoli</w:t>
            </w:r>
          </w:p>
        </w:tc>
        <w:tc>
          <w:tcPr>
            <w:tcW w:type="dxa" w:w="2556"/>
            <w:vAlign w:val="center"/>
          </w:tcPr>
          <w:p>
            <w:r>
              <w:t>Salmon + vegetables + beans</w:t>
            </w:r>
          </w:p>
        </w:tc>
        <w:tc>
          <w:tcPr>
            <w:tcW w:type="dxa" w:w="2556"/>
            <w:vAlign w:val="center"/>
          </w:tcPr>
          <w:p>
            <w:r>
              <w:t>Greek yogurt + walnuts</w:t>
            </w:r>
          </w:p>
        </w:tc>
      </w:tr>
      <w:tr>
        <w:tc>
          <w:tcPr>
            <w:tcW w:type="dxa" w:w="2556"/>
            <w:vAlign w:val="center"/>
          </w:tcPr>
          <w:p>
            <w:r>
              <w:t>Thu</w:t>
            </w:r>
          </w:p>
        </w:tc>
        <w:tc>
          <w:tcPr>
            <w:tcW w:type="dxa" w:w="2556"/>
            <w:vAlign w:val="center"/>
          </w:tcPr>
          <w:p>
            <w:r>
              <w:t>Chicken + lentils + roasted vegetables</w:t>
            </w:r>
          </w:p>
        </w:tc>
        <w:tc>
          <w:tcPr>
            <w:tcW w:type="dxa" w:w="2556"/>
            <w:vAlign w:val="center"/>
          </w:tcPr>
          <w:p>
            <w:r>
              <w:t>Lean beef + mushrooms + greens</w:t>
            </w:r>
          </w:p>
        </w:tc>
        <w:tc>
          <w:tcPr>
            <w:tcW w:type="dxa" w:w="2556"/>
            <w:vAlign w:val="center"/>
          </w:tcPr>
          <w:p>
            <w:r>
              <w:t>Egg/mushroom breakfast</w:t>
            </w:r>
          </w:p>
        </w:tc>
      </w:tr>
      <w:tr>
        <w:tc>
          <w:tcPr>
            <w:tcW w:type="dxa" w:w="2556"/>
            <w:vAlign w:val="center"/>
          </w:tcPr>
          <w:p>
            <w:r>
              <w:t>Fri</w:t>
            </w:r>
          </w:p>
        </w:tc>
        <w:tc>
          <w:tcPr>
            <w:tcW w:type="dxa" w:w="2556"/>
            <w:vAlign w:val="center"/>
          </w:tcPr>
          <w:p>
            <w:r>
              <w:t>Salmon + quinoa + vegetables</w:t>
            </w:r>
          </w:p>
        </w:tc>
        <w:tc>
          <w:tcPr>
            <w:tcW w:type="dxa" w:w="2556"/>
            <w:vAlign w:val="center"/>
          </w:tcPr>
          <w:p>
            <w:r>
              <w:t>Moroccan chicken + chickpeas</w:t>
            </w:r>
          </w:p>
        </w:tc>
        <w:tc>
          <w:tcPr>
            <w:tcW w:type="dxa" w:w="2556"/>
            <w:vAlign w:val="center"/>
          </w:tcPr>
          <w:p>
            <w:r>
              <w:t>Greek yogurt + berries</w:t>
            </w:r>
          </w:p>
        </w:tc>
      </w:tr>
      <w:tr>
        <w:tc>
          <w:tcPr>
            <w:tcW w:type="dxa" w:w="2556"/>
            <w:vAlign w:val="center"/>
          </w:tcPr>
          <w:p>
            <w:r>
              <w:t>Sat</w:t>
            </w:r>
          </w:p>
        </w:tc>
        <w:tc>
          <w:tcPr>
            <w:tcW w:type="dxa" w:w="2556"/>
            <w:vAlign w:val="center"/>
          </w:tcPr>
          <w:p>
            <w:r>
              <w:t>Sardine Mediterranean plate</w:t>
            </w:r>
          </w:p>
        </w:tc>
        <w:tc>
          <w:tcPr>
            <w:tcW w:type="dxa" w:w="2556"/>
            <w:vAlign w:val="center"/>
          </w:tcPr>
          <w:p>
            <w:r>
              <w:t>Shrimp + vegetables + legumes</w:t>
            </w:r>
          </w:p>
        </w:tc>
        <w:tc>
          <w:tcPr>
            <w:tcW w:type="dxa" w:w="2556"/>
            <w:vAlign w:val="center"/>
          </w:tcPr>
          <w:p>
            <w:r>
              <w:t>Eggs + avocado + seeds</w:t>
            </w:r>
          </w:p>
        </w:tc>
      </w:tr>
      <w:tr>
        <w:tc>
          <w:tcPr>
            <w:tcW w:type="dxa" w:w="2556"/>
            <w:vAlign w:val="center"/>
          </w:tcPr>
          <w:p>
            <w:r>
              <w:t>Sun</w:t>
            </w:r>
          </w:p>
        </w:tc>
        <w:tc>
          <w:tcPr>
            <w:tcW w:type="dxa" w:w="2556"/>
            <w:vAlign w:val="center"/>
          </w:tcPr>
          <w:p>
            <w:r>
              <w:t>Beef + lentil mushroom bowl</w:t>
            </w:r>
          </w:p>
        </w:tc>
        <w:tc>
          <w:tcPr>
            <w:tcW w:type="dxa" w:w="2556"/>
            <w:vAlign w:val="center"/>
          </w:tcPr>
          <w:p>
            <w:r>
              <w:t>Salmon + roasted vegetables</w:t>
            </w:r>
          </w:p>
        </w:tc>
        <w:tc>
          <w:tcPr>
            <w:tcW w:type="dxa" w:w="2556"/>
            <w:vAlign w:val="center"/>
          </w:tcPr>
          <w:p>
            <w:r>
              <w:t>Greek yogurt + berries + chia</w:t>
            </w:r>
          </w:p>
        </w:tc>
      </w:tr>
    </w:tbl>
    <w:p>
      <w:pPr>
        <w:pStyle w:val="Heading1"/>
      </w:pPr>
      <w:r>
        <w:t>9. Evidence Guardrails</w:t>
      </w:r>
    </w:p>
    <w:p>
      <w:pPr>
        <w:pStyle w:val="ListBullet"/>
      </w:pPr>
      <w:r>
        <w:t>Wnt/β-catenin is a central hair-follicle regenerative pathway, but it is not a simple 'more is better' target.</w:t>
      </w:r>
    </w:p>
    <w:p>
      <w:pPr>
        <w:pStyle w:val="ListBullet"/>
      </w:pPr>
      <w:r>
        <w:t>Micronutrient deficiencies can contribute to hair abnormalities, but evidence for supplementation in people without deficiency is inconsistent.</w:t>
      </w:r>
    </w:p>
    <w:p>
      <w:pPr>
        <w:pStyle w:val="ListBullet"/>
      </w:pPr>
      <w:r>
        <w:t>Recent 2026 experimental work provides a particularly interesting mechanistic link between iron deficiency, oxidative stress and reduced Wnt/β-catenin signaling, but the study used mice and cultured human follicular dermal papilla cells; it should not be interpreted as proof that iron supplementation regrows hair in humans.</w:t>
      </w:r>
    </w:p>
    <w:p>
      <w:pPr>
        <w:pStyle w:val="ListBullet"/>
      </w:pPr>
      <w:r>
        <w:t>Vitamin D receptor biology has a direct mechanistic connection to canonical Wnt/β-catenin signaling in follicular stem-cell biology, but serum vitamin D correction should be individualized.</w:t>
      </w:r>
    </w:p>
    <w:p>
      <w:pPr>
        <w:pStyle w:val="ListBullet"/>
      </w:pPr>
      <w:r>
        <w:t>Routine clinical care should also distinguish androgenetic alopecia, telogen effluvium, alopecia areata, scarring alopecia, thyroid disease, medication effects and other causes. Nutrition is one layer, not the entire diagnosis.</w:t>
      </w:r>
    </w:p>
    <w:p>
      <w:pPr>
        <w:pStyle w:val="Heading1"/>
      </w:pPr>
      <w:r>
        <w:t>10. Research References</w:t>
      </w:r>
    </w:p>
    <w:p>
      <w:pPr>
        <w:pStyle w:val="ListBullet"/>
      </w:pPr>
      <w:r>
        <w:t>Targeting Wnt/β-Catenin Pathway for Developing Therapies for Hair Loss. PubMed PMID 32664659.  https://pubmed.ncbi.nlm.nih.gov/32664659/</w:t>
      </w:r>
    </w:p>
    <w:p>
      <w:pPr>
        <w:pStyle w:val="ListBullet"/>
      </w:pPr>
      <w:r>
        <w:t>Advances in Regenerative Stem Cell Therapy in Androgenic Alopecia and Hair Loss. PubMed PMID 31100937.  https://pubmed.ncbi.nlm.nih.gov/31100937/</w:t>
      </w:r>
    </w:p>
    <w:p>
      <w:pPr>
        <w:pStyle w:val="ListBullet"/>
      </w:pPr>
      <w:r>
        <w:t>Molecular Mechanisms of Hair Growth and Regeneration. PubMed PMID 32163945.  https://pubmed.ncbi.nlm.nih.gov/32163945/</w:t>
      </w:r>
    </w:p>
    <w:p>
      <w:pPr>
        <w:pStyle w:val="ListBullet"/>
      </w:pPr>
      <w:r>
        <w:t>The Role of Vitamins and Minerals in Hair Loss: A Review. PubMed PMID 30547302.  https://pubmed.ncbi.nlm.nih.gov/30547302/</w:t>
      </w:r>
    </w:p>
    <w:p>
      <w:pPr>
        <w:pStyle w:val="ListBullet"/>
      </w:pPr>
      <w:r>
        <w:t>Micronutrients and Androgenetic Alopecia: A Systematic Review. PubMed PMID 39440586.  https://pubmed.ncbi.nlm.nih.gov/39440586/</w:t>
      </w:r>
    </w:p>
    <w:p>
      <w:pPr>
        <w:pStyle w:val="ListBullet"/>
      </w:pPr>
      <w:r>
        <w:t>Iron Deficiency-Induced Hair Loss Is Associated with ROS-Mediated Disruption of Wnt/β-Catenin Signaling. Nutrients, 2026;18(14):2321. PubMed PMID 42514390.  https://pubmed.ncbi.nlm.nih.gov/42514390/</w:t>
      </w:r>
    </w:p>
    <w:p>
      <w:pPr>
        <w:pStyle w:val="ListBullet"/>
      </w:pPr>
      <w:r>
        <w:t>Vitamin D receptor is essential for normal keratinocyte stem cell function. PubMed PMID 17517646.  https://pubmed.ncbi.nlm.nih.gov/17517646/</w:t>
      </w:r>
    </w:p>
    <w:p>
      <w:pPr>
        <w:pStyle w:val="ListBullet"/>
      </w:pPr>
      <w:r>
        <w:t>NIH ODS: Dietary Supplements for Primary Mitochondrial Disorders — thiamin and energy metabolism.  https://ods.od.nih.gov/factsheets/PrimaryMitochondrialDisorders-HealthProfessional/</w:t>
      </w:r>
    </w:p>
    <w:p>
      <w:pPr>
        <w:pStyle w:val="Heading1"/>
      </w:pPr>
      <w:r>
        <w:t>11. Next Research Phase</w:t>
      </w:r>
    </w:p>
    <w:p>
      <w:r>
        <w:t>The next useful step is to convert this framework into a quantitative 'Hair Follicle Optimization Matrix': each laboratory marker is mapped to its physiological bottleneck, food sources, meal-prep menu items and follow-up interval. The same matrix can score meals for protein, iron, zinc, selenium, copper, magnesium, B vitamins, vitamin D, omega-3s, sulfur amino acids, fiber and plant diversity.</w:t>
      </w:r>
    </w:p>
    <w:p>
      <w:r>
        <w:t>Clinical note: This document is an evidence-informed research framework, not a diagnosis or individualized treatment plan. Abnormal laboratory results should be interpreted in clinical context, and iron, zinc, selenium, vitamin A and other high-dose supplements should not be started solely to pursue hair growth without appropriate assessment.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