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0"/>
        <w:tabs>
          <w:tab w:val="left" w:pos="2330"/>
          <w:tab w:val="center" w:pos="4213"/>
        </w:tabs>
        <w:spacing w:beforeLines="100" w:afterLines="100"/>
        <w:jc w:val="center"/>
        <w:rPr>
          <w:b/>
          <w:bCs/>
          <w:sz w:val="36"/>
        </w:rPr>
      </w:pPr>
      <w:r>
        <w:rPr>
          <w:rFonts w:hint="eastAsia"/>
          <w:b/>
          <w:bCs/>
          <w:sz w:val="36"/>
          <w:lang w:val="en-US" w:eastAsia="zh-CN"/>
        </w:rPr>
        <w:t>xxx有限公司环境检测</w:t>
      </w:r>
      <w:r>
        <w:rPr>
          <w:b/>
          <w:bCs/>
          <w:sz w:val="36"/>
        </w:rPr>
        <w:t>方案</w:t>
      </w:r>
    </w:p>
    <w:p>
      <w:pPr>
        <w:pStyle w:val="10"/>
        <w:spacing w:beforeLines="200" w:afterLines="100"/>
        <w:jc w:val="left"/>
        <w:outlineLvl w:val="0"/>
        <w:rPr>
          <w:rFonts w:eastAsia="黑体"/>
          <w:sz w:val="28"/>
        </w:rPr>
      </w:pPr>
      <w:r>
        <w:rPr>
          <w:rFonts w:hint="eastAsia" w:hAnsi="黑体" w:eastAsia="黑体"/>
          <w:sz w:val="28"/>
        </w:rPr>
        <w:t>一、</w:t>
      </w:r>
      <w:r>
        <w:rPr>
          <w:rFonts w:hAnsi="黑体" w:eastAsia="黑体"/>
          <w:sz w:val="28"/>
        </w:rPr>
        <w:t>项目概况</w:t>
      </w:r>
    </w:p>
    <w:p>
      <w:pPr>
        <w:pStyle w:val="12"/>
        <w:spacing w:before="156"/>
      </w:pPr>
      <w:r>
        <w:rPr>
          <w:rFonts w:hAnsi="黑体"/>
        </w:rPr>
        <w:t>表</w:t>
      </w:r>
      <w:r>
        <w:t xml:space="preserve">1  </w:t>
      </w:r>
      <w:r>
        <w:rPr>
          <w:rFonts w:hAnsi="黑体"/>
        </w:rPr>
        <w:t>项目基本构成一览表</w:t>
      </w:r>
    </w:p>
    <w:tbl>
      <w:tblPr>
        <w:tblStyle w:val="8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"/>
        <w:gridCol w:w="1342"/>
        <w:gridCol w:w="2568"/>
        <w:gridCol w:w="1589"/>
        <w:gridCol w:w="2414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57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序号</w:t>
            </w:r>
          </w:p>
        </w:tc>
        <w:tc>
          <w:tcPr>
            <w:tcW w:w="787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类别</w:t>
            </w:r>
          </w:p>
        </w:tc>
        <w:tc>
          <w:tcPr>
            <w:tcW w:w="3854" w:type="pct"/>
            <w:gridSpan w:val="3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内容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57" w:type="pct"/>
            <w:tcBorders>
              <w:top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1</w:t>
            </w:r>
          </w:p>
        </w:tc>
        <w:tc>
          <w:tcPr>
            <w:tcW w:w="787" w:type="pct"/>
            <w:tcBorders>
              <w:top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项目名称</w:t>
            </w:r>
          </w:p>
        </w:tc>
        <w:tc>
          <w:tcPr>
            <w:tcW w:w="3854" w:type="pct"/>
            <w:gridSpan w:val="3"/>
            <w:tcBorders>
              <w:top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57" w:type="pct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2</w:t>
            </w:r>
          </w:p>
        </w:tc>
        <w:tc>
          <w:tcPr>
            <w:tcW w:w="787" w:type="pct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建设单位</w:t>
            </w:r>
          </w:p>
        </w:tc>
        <w:tc>
          <w:tcPr>
            <w:tcW w:w="3854" w:type="pct"/>
            <w:gridSpan w:val="3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  <w:rPr>
                <w:bCs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57" w:type="pct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3</w:t>
            </w:r>
          </w:p>
        </w:tc>
        <w:tc>
          <w:tcPr>
            <w:tcW w:w="787" w:type="pct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建设地点</w:t>
            </w:r>
          </w:p>
        </w:tc>
        <w:tc>
          <w:tcPr>
            <w:tcW w:w="3854" w:type="pct"/>
            <w:gridSpan w:val="3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57" w:type="pct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4</w:t>
            </w:r>
          </w:p>
        </w:tc>
        <w:tc>
          <w:tcPr>
            <w:tcW w:w="787" w:type="pct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经纬度</w:t>
            </w:r>
          </w:p>
        </w:tc>
        <w:tc>
          <w:tcPr>
            <w:tcW w:w="3854" w:type="pct"/>
            <w:gridSpan w:val="3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rPr>
                <w:rFonts w:hint="eastAsia"/>
              </w:rPr>
              <w:t>/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4" w:hRule="exact"/>
          <w:jc w:val="center"/>
        </w:trPr>
        <w:tc>
          <w:tcPr>
            <w:tcW w:w="357" w:type="pct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5</w:t>
            </w:r>
          </w:p>
        </w:tc>
        <w:tc>
          <w:tcPr>
            <w:tcW w:w="787" w:type="pct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项目概况</w:t>
            </w:r>
          </w:p>
        </w:tc>
        <w:tc>
          <w:tcPr>
            <w:tcW w:w="3854" w:type="pct"/>
            <w:gridSpan w:val="3"/>
            <w:tcBorders>
              <w:top w:val="nil"/>
            </w:tcBorders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rPr>
                <w:rFonts w:hint="eastAsia"/>
              </w:rPr>
              <w:t>/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357" w:type="pct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6</w:t>
            </w:r>
          </w:p>
        </w:tc>
        <w:tc>
          <w:tcPr>
            <w:tcW w:w="787" w:type="pct"/>
            <w:vAlign w:val="center"/>
          </w:tcPr>
          <w:p>
            <w:pPr>
              <w:pStyle w:val="10"/>
              <w:adjustRightInd w:val="0"/>
              <w:snapToGrid w:val="0"/>
              <w:textAlignment w:val="center"/>
            </w:pPr>
            <w:r>
              <w:t>建设单位联系人</w:t>
            </w:r>
          </w:p>
        </w:tc>
        <w:tc>
          <w:tcPr>
            <w:tcW w:w="1506" w:type="pct"/>
            <w:tcBorders>
              <w:top w:val="nil"/>
            </w:tcBorders>
            <w:vAlign w:val="center"/>
          </w:tcPr>
          <w:p>
            <w:pPr>
              <w:pStyle w:val="13"/>
              <w:adjustRightInd w:val="0"/>
              <w:snapToGrid w:val="0"/>
              <w:spacing w:after="0" w:line="240" w:lineRule="auto"/>
              <w:ind w:firstLine="0" w:firstLineChars="0"/>
              <w:jc w:val="center"/>
              <w:textAlignment w:val="center"/>
              <w:rPr>
                <w:bCs w:val="0"/>
                <w:snapToGrid/>
                <w:kern w:val="2"/>
                <w:sz w:val="18"/>
                <w:szCs w:val="20"/>
              </w:rPr>
            </w:pPr>
          </w:p>
        </w:tc>
        <w:tc>
          <w:tcPr>
            <w:tcW w:w="932" w:type="pct"/>
            <w:tcBorders>
              <w:top w:val="nil"/>
            </w:tcBorders>
            <w:vAlign w:val="center"/>
          </w:tcPr>
          <w:p>
            <w:pPr>
              <w:pStyle w:val="13"/>
              <w:adjustRightInd w:val="0"/>
              <w:snapToGrid w:val="0"/>
              <w:spacing w:after="0" w:line="240" w:lineRule="auto"/>
              <w:ind w:firstLine="0" w:firstLineChars="0"/>
              <w:jc w:val="center"/>
              <w:textAlignment w:val="center"/>
              <w:rPr>
                <w:bCs w:val="0"/>
                <w:snapToGrid/>
                <w:kern w:val="2"/>
                <w:sz w:val="18"/>
                <w:szCs w:val="20"/>
              </w:rPr>
            </w:pPr>
            <w:r>
              <w:rPr>
                <w:bCs w:val="0"/>
                <w:snapToGrid/>
                <w:kern w:val="2"/>
                <w:sz w:val="18"/>
                <w:szCs w:val="20"/>
              </w:rPr>
              <w:t>建设单位联系方式</w:t>
            </w:r>
          </w:p>
        </w:tc>
        <w:tc>
          <w:tcPr>
            <w:tcW w:w="1415" w:type="pct"/>
            <w:tcBorders>
              <w:top w:val="nil"/>
            </w:tcBorders>
            <w:vAlign w:val="center"/>
          </w:tcPr>
          <w:p>
            <w:pPr>
              <w:pStyle w:val="13"/>
              <w:adjustRightInd w:val="0"/>
              <w:snapToGrid w:val="0"/>
              <w:spacing w:after="0" w:line="240" w:lineRule="auto"/>
              <w:ind w:firstLine="0" w:firstLineChars="0"/>
              <w:jc w:val="center"/>
              <w:textAlignment w:val="center"/>
              <w:rPr>
                <w:bCs w:val="0"/>
                <w:snapToGrid/>
                <w:kern w:val="2"/>
                <w:sz w:val="18"/>
                <w:szCs w:val="20"/>
              </w:rPr>
            </w:pPr>
          </w:p>
        </w:tc>
      </w:tr>
    </w:tbl>
    <w:p>
      <w:pPr>
        <w:pStyle w:val="10"/>
        <w:spacing w:beforeLines="100" w:afterLines="100"/>
        <w:jc w:val="left"/>
        <w:outlineLvl w:val="0"/>
        <w:rPr>
          <w:rFonts w:hAnsi="黑体" w:eastAsia="黑体"/>
          <w:sz w:val="28"/>
        </w:rPr>
      </w:pPr>
      <w:r>
        <w:rPr>
          <w:rFonts w:hint="eastAsia" w:ascii="黑体" w:hAnsi="黑体" w:eastAsia="黑体"/>
          <w:sz w:val="28"/>
        </w:rPr>
        <w:t>二、</w:t>
      </w:r>
      <w:r>
        <w:rPr>
          <w:rFonts w:hint="eastAsia" w:ascii="黑体" w:hAnsi="黑体" w:eastAsia="黑体"/>
          <w:sz w:val="28"/>
          <w:lang w:val="en-US" w:eastAsia="zh-CN"/>
        </w:rPr>
        <w:t>无组织废气</w:t>
      </w:r>
      <w:r>
        <w:rPr>
          <w:rFonts w:hAnsi="黑体" w:eastAsia="黑体"/>
          <w:sz w:val="28"/>
        </w:rPr>
        <w:t>监测</w:t>
      </w:r>
    </w:p>
    <w:p>
      <w:pPr>
        <w:pStyle w:val="12"/>
        <w:spacing w:before="156"/>
      </w:pPr>
      <w:r>
        <w:rPr>
          <w:rFonts w:hAnsi="黑体"/>
        </w:rPr>
        <w:t>表</w:t>
      </w:r>
      <w:r>
        <w:rPr>
          <w:rFonts w:hint="eastAsia"/>
        </w:rPr>
        <w:t>2</w:t>
      </w:r>
      <w:r>
        <w:t xml:space="preserve">  </w:t>
      </w:r>
      <w:r>
        <w:rPr>
          <w:rFonts w:hAnsi="黑体"/>
        </w:rPr>
        <w:t>废气无组织污染源监测点位及因子一览表</w:t>
      </w:r>
    </w:p>
    <w:tbl>
      <w:tblPr>
        <w:tblStyle w:val="8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1"/>
        <w:gridCol w:w="853"/>
        <w:gridCol w:w="2250"/>
        <w:gridCol w:w="1052"/>
        <w:gridCol w:w="989"/>
        <w:gridCol w:w="1471"/>
        <w:gridCol w:w="1086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482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szCs w:val="18"/>
              </w:rPr>
              <w:t>排放类型</w:t>
            </w:r>
          </w:p>
        </w:tc>
        <w:tc>
          <w:tcPr>
            <w:tcW w:w="501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szCs w:val="18"/>
              </w:rPr>
              <w:t>测点编号</w:t>
            </w:r>
          </w:p>
        </w:tc>
        <w:tc>
          <w:tcPr>
            <w:tcW w:w="1320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szCs w:val="18"/>
              </w:rPr>
              <w:t>测点位置</w:t>
            </w:r>
          </w:p>
        </w:tc>
        <w:tc>
          <w:tcPr>
            <w:tcW w:w="617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szCs w:val="18"/>
              </w:rPr>
              <w:t>监测因子</w:t>
            </w:r>
          </w:p>
        </w:tc>
        <w:tc>
          <w:tcPr>
            <w:tcW w:w="580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szCs w:val="18"/>
              </w:rPr>
              <w:t>监测天数</w:t>
            </w:r>
          </w:p>
        </w:tc>
        <w:tc>
          <w:tcPr>
            <w:tcW w:w="863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szCs w:val="18"/>
              </w:rPr>
              <w:t>监测频次及要求</w:t>
            </w:r>
          </w:p>
        </w:tc>
        <w:tc>
          <w:tcPr>
            <w:tcW w:w="636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szCs w:val="18"/>
              </w:rPr>
              <w:t>备注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482" w:type="pct"/>
            <w:vMerge w:val="restart"/>
            <w:tcBorders>
              <w:top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szCs w:val="18"/>
              </w:rPr>
              <w:t>无组织</w:t>
            </w:r>
          </w:p>
        </w:tc>
        <w:tc>
          <w:tcPr>
            <w:tcW w:w="501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rFonts w:hint="eastAsia"/>
                <w:szCs w:val="18"/>
              </w:rPr>
              <w:t>G</w:t>
            </w:r>
            <w:r>
              <w:rPr>
                <w:szCs w:val="18"/>
              </w:rPr>
              <w:t>1</w:t>
            </w:r>
          </w:p>
        </w:tc>
        <w:tc>
          <w:tcPr>
            <w:tcW w:w="1320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厂界</w:t>
            </w:r>
            <w:r>
              <w:rPr>
                <w:rFonts w:hint="default" w:ascii="Times New Roman" w:hAnsi="Times New Roman" w:cs="Times New Roman"/>
                <w:sz w:val="18"/>
                <w:szCs w:val="18"/>
              </w:rPr>
              <w:t>上风向参照点</w:t>
            </w:r>
          </w:p>
        </w:tc>
        <w:tc>
          <w:tcPr>
            <w:tcW w:w="617" w:type="pct"/>
            <w:vMerge w:val="restart"/>
            <w:tcBorders>
              <w:top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rFonts w:hint="eastAsia"/>
                <w:u w:color="auto"/>
              </w:rPr>
              <w:t>颗粒物</w:t>
            </w:r>
            <w:r>
              <w:rPr>
                <w:u w:color="auto"/>
              </w:rPr>
              <w:t>、气象参数</w:t>
            </w:r>
          </w:p>
        </w:tc>
        <w:tc>
          <w:tcPr>
            <w:tcW w:w="580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rFonts w:hint="eastAsia" w:eastAsia="宋体"/>
                <w:szCs w:val="18"/>
                <w:lang w:eastAsia="zh-CN"/>
              </w:rPr>
            </w:pPr>
            <w:r>
              <w:rPr>
                <w:rFonts w:hint="eastAsia"/>
                <w:szCs w:val="18"/>
                <w:lang w:val="en-US" w:eastAsia="zh-CN"/>
              </w:rPr>
              <w:t>2</w:t>
            </w:r>
          </w:p>
        </w:tc>
        <w:tc>
          <w:tcPr>
            <w:tcW w:w="863" w:type="pct"/>
            <w:vMerge w:val="restart"/>
            <w:tcBorders>
              <w:top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szCs w:val="18"/>
              </w:rPr>
              <w:t>每天</w:t>
            </w:r>
            <w:r>
              <w:rPr>
                <w:rFonts w:hint="eastAsia"/>
                <w:szCs w:val="18"/>
                <w:lang w:val="en-US" w:eastAsia="zh-CN"/>
              </w:rPr>
              <w:t>4</w:t>
            </w:r>
            <w:r>
              <w:rPr>
                <w:szCs w:val="18"/>
              </w:rPr>
              <w:t>次，同步进行风向、风速、气温、大气压力及云量等常规气象参数的观测</w:t>
            </w:r>
          </w:p>
        </w:tc>
        <w:tc>
          <w:tcPr>
            <w:tcW w:w="636" w:type="pct"/>
            <w:vMerge w:val="restart"/>
            <w:tcBorders>
              <w:top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rFonts w:hint="eastAsia"/>
                <w:szCs w:val="18"/>
              </w:rPr>
              <w:t>以当天监测</w:t>
            </w:r>
            <w:r>
              <w:rPr>
                <w:rFonts w:hint="eastAsia"/>
                <w:szCs w:val="18"/>
                <w:lang w:val="en-US" w:eastAsia="zh-CN"/>
              </w:rPr>
              <w:t>风</w:t>
            </w:r>
            <w:r>
              <w:rPr>
                <w:rFonts w:hint="eastAsia"/>
                <w:szCs w:val="18"/>
              </w:rPr>
              <w:t>向为准</w:t>
            </w:r>
            <w:bookmarkStart w:id="0" w:name="_GoBack"/>
            <w:bookmarkEnd w:id="0"/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482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  <w:tc>
          <w:tcPr>
            <w:tcW w:w="501" w:type="pct"/>
            <w:tcBorders>
              <w:top w:val="single" w:color="auto" w:sz="4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rFonts w:hint="eastAsia"/>
                <w:szCs w:val="18"/>
              </w:rPr>
              <w:t>G</w:t>
            </w:r>
            <w:r>
              <w:rPr>
                <w:szCs w:val="18"/>
              </w:rPr>
              <w:t>2</w:t>
            </w:r>
          </w:p>
        </w:tc>
        <w:tc>
          <w:tcPr>
            <w:tcW w:w="1320" w:type="pct"/>
            <w:tcBorders>
              <w:top w:val="single" w:color="auto" w:sz="4" w:space="0"/>
            </w:tcBorders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厂界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下风向参照点</w:t>
            </w:r>
          </w:p>
        </w:tc>
        <w:tc>
          <w:tcPr>
            <w:tcW w:w="617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  <w:tc>
          <w:tcPr>
            <w:tcW w:w="580" w:type="pct"/>
            <w:tcBorders>
              <w:top w:val="single" w:color="auto" w:sz="4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rFonts w:hint="eastAsia"/>
                <w:szCs w:val="18"/>
                <w:lang w:val="en-US" w:eastAsia="zh-CN"/>
              </w:rPr>
              <w:t>2</w:t>
            </w:r>
          </w:p>
        </w:tc>
        <w:tc>
          <w:tcPr>
            <w:tcW w:w="863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  <w:tc>
          <w:tcPr>
            <w:tcW w:w="636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482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  <w:tc>
          <w:tcPr>
            <w:tcW w:w="501" w:type="pct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rFonts w:hint="eastAsia"/>
                <w:szCs w:val="18"/>
              </w:rPr>
              <w:t>G</w:t>
            </w:r>
            <w:r>
              <w:rPr>
                <w:szCs w:val="18"/>
              </w:rPr>
              <w:t>3</w:t>
            </w:r>
          </w:p>
        </w:tc>
        <w:tc>
          <w:tcPr>
            <w:tcW w:w="1320" w:type="pct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  <w:lang w:val="en-US" w:eastAsia="zh-CN"/>
              </w:rPr>
              <w:t>厂界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下风向参照点</w:t>
            </w:r>
          </w:p>
        </w:tc>
        <w:tc>
          <w:tcPr>
            <w:tcW w:w="617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  <w:tc>
          <w:tcPr>
            <w:tcW w:w="580" w:type="pct"/>
            <w:vAlign w:val="center"/>
          </w:tcPr>
          <w:p>
            <w:pPr>
              <w:pStyle w:val="10"/>
              <w:adjustRightInd w:val="0"/>
              <w:snapToGrid w:val="0"/>
              <w:rPr>
                <w:rFonts w:hint="eastAsia" w:eastAsia="宋体"/>
                <w:szCs w:val="18"/>
                <w:lang w:eastAsia="zh-CN"/>
              </w:rPr>
            </w:pPr>
            <w:r>
              <w:rPr>
                <w:rFonts w:hint="eastAsia"/>
                <w:szCs w:val="18"/>
                <w:lang w:val="en-US" w:eastAsia="zh-CN"/>
              </w:rPr>
              <w:t>2</w:t>
            </w:r>
          </w:p>
        </w:tc>
        <w:tc>
          <w:tcPr>
            <w:tcW w:w="863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  <w:tc>
          <w:tcPr>
            <w:tcW w:w="636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482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  <w:tc>
          <w:tcPr>
            <w:tcW w:w="501" w:type="pct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  <w:r>
              <w:rPr>
                <w:rFonts w:hint="eastAsia"/>
                <w:szCs w:val="18"/>
              </w:rPr>
              <w:t>G4</w:t>
            </w:r>
          </w:p>
        </w:tc>
        <w:tc>
          <w:tcPr>
            <w:tcW w:w="1320" w:type="pct"/>
            <w:vAlign w:val="center"/>
          </w:tcPr>
          <w:p>
            <w:pPr>
              <w:adjustRightInd w:val="0"/>
              <w:snapToGrid w:val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厂界下风向参照点</w:t>
            </w:r>
          </w:p>
        </w:tc>
        <w:tc>
          <w:tcPr>
            <w:tcW w:w="617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  <w:tc>
          <w:tcPr>
            <w:tcW w:w="580" w:type="pct"/>
            <w:vAlign w:val="center"/>
          </w:tcPr>
          <w:p>
            <w:pPr>
              <w:pStyle w:val="10"/>
              <w:adjustRightInd w:val="0"/>
              <w:snapToGrid w:val="0"/>
              <w:rPr>
                <w:rFonts w:hint="eastAsia" w:eastAsia="宋体"/>
                <w:szCs w:val="18"/>
                <w:lang w:eastAsia="zh-CN"/>
              </w:rPr>
            </w:pPr>
            <w:r>
              <w:rPr>
                <w:rFonts w:hint="eastAsia"/>
                <w:szCs w:val="18"/>
                <w:lang w:val="en-US" w:eastAsia="zh-CN"/>
              </w:rPr>
              <w:t>2</w:t>
            </w:r>
          </w:p>
        </w:tc>
        <w:tc>
          <w:tcPr>
            <w:tcW w:w="863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  <w:tc>
          <w:tcPr>
            <w:tcW w:w="636" w:type="pct"/>
            <w:vMerge w:val="continue"/>
            <w:vAlign w:val="center"/>
          </w:tcPr>
          <w:p>
            <w:pPr>
              <w:pStyle w:val="10"/>
              <w:adjustRightInd w:val="0"/>
              <w:snapToGrid w:val="0"/>
              <w:rPr>
                <w:szCs w:val="18"/>
              </w:rPr>
            </w:pP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1" w:hRule="atLeast"/>
          <w:jc w:val="center"/>
        </w:trPr>
        <w:tc>
          <w:tcPr>
            <w:tcW w:w="5000" w:type="pct"/>
            <w:gridSpan w:val="7"/>
            <w:vAlign w:val="center"/>
          </w:tcPr>
          <w:p>
            <w:pPr>
              <w:pStyle w:val="10"/>
              <w:adjustRightInd w:val="0"/>
              <w:snapToGrid w:val="0"/>
              <w:rPr>
                <w:rFonts w:hint="default" w:eastAsia="宋体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sz w:val="18"/>
                <w:szCs w:val="18"/>
                <w:lang w:val="en-US" w:eastAsia="zh-CN"/>
              </w:rPr>
              <w:t>执行标准：《大气污染物综合排放标准》（GB 16297-1996）表 2 无组织排放限值要求。</w:t>
            </w:r>
          </w:p>
        </w:tc>
      </w:tr>
    </w:tbl>
    <w:p>
      <w:pPr>
        <w:pStyle w:val="10"/>
        <w:spacing w:beforeLines="100" w:afterLines="100"/>
        <w:jc w:val="left"/>
        <w:outlineLvl w:val="0"/>
        <w:rPr>
          <w:rFonts w:hAnsi="黑体" w:eastAsia="黑体"/>
          <w:sz w:val="28"/>
        </w:rPr>
      </w:pPr>
      <w:r>
        <w:rPr>
          <w:rFonts w:hint="eastAsia" w:hAnsi="黑体" w:eastAsia="黑体"/>
          <w:sz w:val="28"/>
        </w:rPr>
        <w:t>三、</w:t>
      </w:r>
      <w:r>
        <w:rPr>
          <w:rFonts w:hint="eastAsia" w:hAnsi="黑体" w:eastAsia="黑体"/>
          <w:sz w:val="28"/>
          <w:lang w:val="en-US" w:eastAsia="zh-CN"/>
        </w:rPr>
        <w:t>废水</w:t>
      </w:r>
      <w:r>
        <w:rPr>
          <w:rFonts w:hAnsi="黑体" w:eastAsia="黑体"/>
          <w:sz w:val="28"/>
        </w:rPr>
        <w:t>监测</w:t>
      </w:r>
    </w:p>
    <w:p>
      <w:pPr>
        <w:pStyle w:val="12"/>
        <w:spacing w:before="156"/>
      </w:pPr>
      <w:r>
        <w:rPr>
          <w:rFonts w:hAnsi="黑体"/>
        </w:rPr>
        <w:t>表</w:t>
      </w:r>
      <w:r>
        <w:rPr>
          <w:rFonts w:hint="eastAsia"/>
          <w:lang w:val="en-US" w:eastAsia="zh-CN"/>
        </w:rPr>
        <w:t>3</w:t>
      </w:r>
      <w:r>
        <w:t xml:space="preserve">  </w:t>
      </w:r>
      <w:r>
        <w:rPr>
          <w:rFonts w:hint="eastAsia" w:hAnsi="黑体"/>
          <w:lang w:val="en-US" w:eastAsia="zh-CN"/>
        </w:rPr>
        <w:t>废水</w:t>
      </w:r>
      <w:r>
        <w:rPr>
          <w:rFonts w:hAnsi="黑体"/>
        </w:rPr>
        <w:t>监测点位及因子一览表</w:t>
      </w:r>
    </w:p>
    <w:tbl>
      <w:tblPr>
        <w:tblStyle w:val="8"/>
        <w:tblW w:w="4998" w:type="pct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"/>
        <w:gridCol w:w="2447"/>
        <w:gridCol w:w="1373"/>
        <w:gridCol w:w="1373"/>
        <w:gridCol w:w="2445"/>
      </w:tblGrid>
      <w:tr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517" w:type="pct"/>
            <w:tcBorders>
              <w:top w:val="single" w:color="000000" w:sz="12" w:space="0"/>
              <w:bottom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caps/>
                <w:sz w:val="18"/>
                <w:szCs w:val="18"/>
              </w:rPr>
            </w:pPr>
            <w:r>
              <w:rPr>
                <w:rFonts w:ascii="Times New Roman" w:eastAsia="宋体"/>
                <w:caps/>
                <w:sz w:val="18"/>
                <w:szCs w:val="18"/>
              </w:rPr>
              <w:t>编号</w:t>
            </w:r>
          </w:p>
        </w:tc>
        <w:tc>
          <w:tcPr>
            <w:tcW w:w="1436" w:type="pct"/>
            <w:tcBorders>
              <w:top w:val="single" w:color="000000" w:sz="12" w:space="0"/>
              <w:bottom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caps/>
                <w:sz w:val="18"/>
                <w:szCs w:val="18"/>
              </w:rPr>
            </w:pPr>
            <w:r>
              <w:rPr>
                <w:rFonts w:ascii="Times New Roman" w:eastAsia="宋体"/>
                <w:caps/>
                <w:sz w:val="18"/>
                <w:szCs w:val="18"/>
              </w:rPr>
              <w:t>监测点</w:t>
            </w:r>
          </w:p>
        </w:tc>
        <w:tc>
          <w:tcPr>
            <w:tcW w:w="806" w:type="pct"/>
            <w:tcBorders>
              <w:top w:val="single" w:color="000000" w:sz="12" w:space="0"/>
              <w:bottom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eastAsia="宋体"/>
                <w:caps/>
                <w:sz w:val="18"/>
                <w:szCs w:val="18"/>
              </w:rPr>
            </w:pPr>
            <w:r>
              <w:rPr>
                <w:szCs w:val="18"/>
              </w:rPr>
              <w:t>监测因子</w:t>
            </w:r>
          </w:p>
        </w:tc>
        <w:tc>
          <w:tcPr>
            <w:tcW w:w="806" w:type="pct"/>
            <w:tcBorders>
              <w:top w:val="single" w:color="000000" w:sz="12" w:space="0"/>
              <w:bottom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caps/>
                <w:sz w:val="18"/>
                <w:szCs w:val="18"/>
              </w:rPr>
            </w:pPr>
            <w:r>
              <w:rPr>
                <w:rFonts w:ascii="Times New Roman" w:eastAsia="宋体"/>
                <w:caps/>
                <w:sz w:val="18"/>
                <w:szCs w:val="18"/>
              </w:rPr>
              <w:t>监测天数</w:t>
            </w:r>
          </w:p>
        </w:tc>
        <w:tc>
          <w:tcPr>
            <w:tcW w:w="1433" w:type="pct"/>
            <w:tcBorders>
              <w:top w:val="single" w:color="000000" w:sz="12" w:space="0"/>
              <w:bottom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caps/>
                <w:sz w:val="18"/>
                <w:szCs w:val="18"/>
              </w:rPr>
            </w:pPr>
            <w:r>
              <w:rPr>
                <w:rFonts w:ascii="Times New Roman" w:eastAsia="宋体"/>
                <w:caps/>
                <w:sz w:val="18"/>
                <w:szCs w:val="18"/>
              </w:rPr>
              <w:t>监测频次</w:t>
            </w:r>
          </w:p>
        </w:tc>
      </w:tr>
      <w:tr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517" w:type="pct"/>
            <w:tcBorders>
              <w:top w:val="single" w:color="000000" w:sz="12" w:space="0"/>
            </w:tcBorders>
            <w:vAlign w:val="center"/>
          </w:tcPr>
          <w:p>
            <w:pPr>
              <w:jc w:val="center"/>
              <w:textAlignment w:val="center"/>
              <w:rPr>
                <w:rFonts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color w:val="000000"/>
                <w:kern w:val="0"/>
                <w:sz w:val="18"/>
                <w:szCs w:val="18"/>
                <w:lang w:val="en-US" w:eastAsia="zh-CN"/>
              </w:rPr>
              <w:t>W</w:t>
            </w:r>
            <w:r>
              <w:rPr>
                <w:rFonts w:hint="eastAsia" w:ascii="Times New Roman" w:hAnsi="Times New Roman" w:eastAsia="宋体"/>
                <w:color w:val="000000"/>
                <w:kern w:val="0"/>
                <w:sz w:val="18"/>
                <w:szCs w:val="18"/>
              </w:rPr>
              <w:t>1</w:t>
            </w:r>
          </w:p>
        </w:tc>
        <w:tc>
          <w:tcPr>
            <w:tcW w:w="1436" w:type="pct"/>
            <w:tcBorders>
              <w:top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</w:rPr>
              <w:t>生活废水总排口</w:t>
            </w:r>
          </w:p>
        </w:tc>
        <w:tc>
          <w:tcPr>
            <w:tcW w:w="806" w:type="pct"/>
            <w:tcBorders>
              <w:top w:val="single" w:color="000000" w:sz="12" w:space="0"/>
            </w:tcBorders>
            <w:vAlign w:val="center"/>
          </w:tcPr>
          <w:p>
            <w:pPr>
              <w:jc w:val="center"/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化学需氧量、五日生化需氧量 、悬浮物、氨氮</w:t>
            </w:r>
          </w:p>
        </w:tc>
        <w:tc>
          <w:tcPr>
            <w:tcW w:w="806" w:type="pct"/>
            <w:tcBorders>
              <w:top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2</w:t>
            </w:r>
            <w:r>
              <w:rPr>
                <w:rFonts w:ascii="Times New Roman" w:eastAsia="宋体"/>
                <w:sz w:val="18"/>
                <w:szCs w:val="18"/>
              </w:rPr>
              <w:t>天</w:t>
            </w:r>
          </w:p>
        </w:tc>
        <w:tc>
          <w:tcPr>
            <w:tcW w:w="1433" w:type="pct"/>
            <w:tcBorders>
              <w:top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  <w:r>
              <w:rPr>
                <w:rFonts w:ascii="Times New Roman" w:eastAsia="宋体"/>
                <w:sz w:val="18"/>
                <w:szCs w:val="18"/>
              </w:rPr>
              <w:t>每天</w:t>
            </w:r>
            <w:r>
              <w:rPr>
                <w:rFonts w:hint="eastAsia" w:ascii="Times New Roman" w:eastAsia="宋体"/>
                <w:sz w:val="18"/>
                <w:szCs w:val="18"/>
                <w:lang w:val="en-US" w:eastAsia="zh-CN"/>
              </w:rPr>
              <w:t>3</w:t>
            </w:r>
            <w:r>
              <w:rPr>
                <w:rFonts w:ascii="Times New Roman" w:eastAsia="宋体"/>
                <w:sz w:val="18"/>
                <w:szCs w:val="18"/>
              </w:rPr>
              <w:t>次</w:t>
            </w:r>
          </w:p>
        </w:tc>
      </w:tr>
      <w:tr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5000" w:type="pct"/>
            <w:gridSpan w:val="5"/>
            <w:vAlign w:val="center"/>
          </w:tcPr>
          <w:p>
            <w:pPr>
              <w:jc w:val="center"/>
              <w:rPr>
                <w:rFonts w:hint="default" w:ascii="Times New Roman" w:hAnsi="Times New Roman" w:eastAsia="宋体"/>
                <w:sz w:val="18"/>
                <w:szCs w:val="18"/>
                <w:lang w:val="en-US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执行标准：《污水综合排放标准》（GB 8978-1996）表 4 三级限值要求。</w:t>
            </w:r>
          </w:p>
        </w:tc>
      </w:tr>
    </w:tbl>
    <w:p>
      <w:pPr>
        <w:pStyle w:val="10"/>
        <w:spacing w:beforeLines="100" w:afterLines="100"/>
        <w:jc w:val="left"/>
        <w:outlineLvl w:val="0"/>
        <w:rPr>
          <w:rFonts w:hAnsi="黑体" w:eastAsia="黑体"/>
          <w:sz w:val="28"/>
        </w:rPr>
      </w:pPr>
      <w:r>
        <w:rPr>
          <w:rFonts w:hint="eastAsia" w:hAnsi="黑体" w:eastAsia="黑体"/>
          <w:sz w:val="28"/>
          <w:lang w:val="en-US" w:eastAsia="zh-CN"/>
        </w:rPr>
        <w:t>四</w:t>
      </w:r>
      <w:r>
        <w:rPr>
          <w:rFonts w:hint="eastAsia" w:hAnsi="黑体" w:eastAsia="黑体"/>
          <w:sz w:val="28"/>
        </w:rPr>
        <w:t>、</w:t>
      </w:r>
      <w:r>
        <w:rPr>
          <w:rFonts w:hAnsi="黑体" w:eastAsia="黑体"/>
          <w:sz w:val="28"/>
        </w:rPr>
        <w:t>噪声监测</w:t>
      </w:r>
    </w:p>
    <w:p>
      <w:pPr>
        <w:pStyle w:val="12"/>
        <w:spacing w:before="156"/>
      </w:pPr>
      <w:r>
        <w:rPr>
          <w:rFonts w:hAnsi="黑体"/>
        </w:rPr>
        <w:t>表</w:t>
      </w:r>
      <w:r>
        <w:rPr>
          <w:rFonts w:hint="eastAsia"/>
          <w:lang w:val="en-US" w:eastAsia="zh-CN"/>
        </w:rPr>
        <w:t>4</w:t>
      </w:r>
      <w:r>
        <w:t xml:space="preserve">  </w:t>
      </w:r>
      <w:r>
        <w:rPr>
          <w:rFonts w:hint="eastAsia" w:hAnsi="黑体"/>
          <w:lang w:val="en-US" w:eastAsia="zh-CN"/>
        </w:rPr>
        <w:t>噪声</w:t>
      </w:r>
      <w:r>
        <w:rPr>
          <w:rFonts w:hAnsi="黑体"/>
        </w:rPr>
        <w:t>监测点位及因子一览表</w:t>
      </w:r>
    </w:p>
    <w:tbl>
      <w:tblPr>
        <w:tblStyle w:val="8"/>
        <w:tblW w:w="5000" w:type="pct"/>
        <w:jc w:val="center"/>
        <w:tblBorders>
          <w:top w:val="single" w:color="000000" w:sz="12" w:space="0"/>
          <w:left w:val="none" w:color="auto" w:sz="0" w:space="0"/>
          <w:bottom w:val="single" w:color="000000" w:sz="12" w:space="0"/>
          <w:right w:val="none" w:color="auto" w:sz="0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9"/>
        <w:gridCol w:w="2920"/>
        <w:gridCol w:w="1640"/>
        <w:gridCol w:w="2913"/>
      </w:tblGrid>
      <w:tr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616" w:type="pct"/>
            <w:tcBorders>
              <w:top w:val="single" w:color="000000" w:sz="12" w:space="0"/>
              <w:bottom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caps/>
                <w:sz w:val="18"/>
                <w:szCs w:val="18"/>
              </w:rPr>
            </w:pPr>
            <w:r>
              <w:rPr>
                <w:rFonts w:ascii="Times New Roman" w:eastAsia="宋体"/>
                <w:caps/>
                <w:sz w:val="18"/>
                <w:szCs w:val="18"/>
              </w:rPr>
              <w:t>编号</w:t>
            </w:r>
          </w:p>
        </w:tc>
        <w:tc>
          <w:tcPr>
            <w:tcW w:w="1713" w:type="pct"/>
            <w:tcBorders>
              <w:top w:val="single" w:color="000000" w:sz="12" w:space="0"/>
              <w:bottom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caps/>
                <w:sz w:val="18"/>
                <w:szCs w:val="18"/>
              </w:rPr>
            </w:pPr>
            <w:r>
              <w:rPr>
                <w:rFonts w:ascii="Times New Roman" w:eastAsia="宋体"/>
                <w:caps/>
                <w:sz w:val="18"/>
                <w:szCs w:val="18"/>
              </w:rPr>
              <w:t>监测点</w:t>
            </w:r>
          </w:p>
        </w:tc>
        <w:tc>
          <w:tcPr>
            <w:tcW w:w="962" w:type="pct"/>
            <w:tcBorders>
              <w:top w:val="single" w:color="000000" w:sz="12" w:space="0"/>
              <w:bottom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caps/>
                <w:sz w:val="18"/>
                <w:szCs w:val="18"/>
              </w:rPr>
            </w:pPr>
            <w:r>
              <w:rPr>
                <w:rFonts w:ascii="Times New Roman" w:eastAsia="宋体"/>
                <w:caps/>
                <w:sz w:val="18"/>
                <w:szCs w:val="18"/>
              </w:rPr>
              <w:t>监测天数</w:t>
            </w:r>
          </w:p>
        </w:tc>
        <w:tc>
          <w:tcPr>
            <w:tcW w:w="1707" w:type="pct"/>
            <w:tcBorders>
              <w:top w:val="single" w:color="000000" w:sz="12" w:space="0"/>
              <w:bottom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caps/>
                <w:sz w:val="18"/>
                <w:szCs w:val="18"/>
              </w:rPr>
            </w:pPr>
            <w:r>
              <w:rPr>
                <w:rFonts w:ascii="Times New Roman" w:eastAsia="宋体"/>
                <w:caps/>
                <w:sz w:val="18"/>
                <w:szCs w:val="18"/>
              </w:rPr>
              <w:t>监测频次</w:t>
            </w:r>
          </w:p>
        </w:tc>
      </w:tr>
      <w:tr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4" w:hRule="atLeast"/>
          <w:jc w:val="center"/>
        </w:trPr>
        <w:tc>
          <w:tcPr>
            <w:tcW w:w="616" w:type="pct"/>
            <w:tcBorders>
              <w:top w:val="single" w:color="000000" w:sz="12" w:space="0"/>
            </w:tcBorders>
            <w:vAlign w:val="center"/>
          </w:tcPr>
          <w:p>
            <w:pPr>
              <w:jc w:val="center"/>
              <w:textAlignment w:val="center"/>
              <w:rPr>
                <w:rFonts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color w:val="000000"/>
                <w:kern w:val="0"/>
                <w:sz w:val="18"/>
                <w:szCs w:val="18"/>
              </w:rPr>
              <w:t>N1</w:t>
            </w:r>
          </w:p>
        </w:tc>
        <w:tc>
          <w:tcPr>
            <w:tcW w:w="1713" w:type="pct"/>
            <w:tcBorders>
              <w:top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  <w:r>
              <w:rPr>
                <w:rFonts w:ascii="Times New Roman" w:eastAsia="宋体"/>
                <w:sz w:val="18"/>
                <w:szCs w:val="18"/>
              </w:rPr>
              <w:t>厂界</w:t>
            </w:r>
            <w:r>
              <w:rPr>
                <w:rFonts w:hint="eastAsia" w:ascii="Times New Roman" w:eastAsia="宋体"/>
                <w:sz w:val="18"/>
                <w:szCs w:val="18"/>
              </w:rPr>
              <w:t>东</w:t>
            </w:r>
            <w:r>
              <w:rPr>
                <w:rFonts w:ascii="Times New Roman" w:eastAsia="宋体"/>
                <w:sz w:val="18"/>
                <w:szCs w:val="18"/>
              </w:rPr>
              <w:t>侧</w:t>
            </w:r>
            <w:r>
              <w:rPr>
                <w:rFonts w:hint="eastAsia" w:ascii="Times New Roman" w:eastAsia="宋体"/>
                <w:sz w:val="18"/>
                <w:szCs w:val="18"/>
                <w:lang w:val="en-US" w:eastAsia="zh-CN"/>
              </w:rPr>
              <w:t>外</w:t>
            </w:r>
            <w:r>
              <w:rPr>
                <w:rFonts w:ascii="Times New Roman" w:hAnsi="Times New Roman" w:eastAsia="宋体"/>
                <w:sz w:val="18"/>
                <w:szCs w:val="18"/>
              </w:rPr>
              <w:t>1m</w:t>
            </w:r>
            <w:r>
              <w:rPr>
                <w:rFonts w:ascii="Times New Roman" w:eastAsia="宋体"/>
                <w:sz w:val="18"/>
                <w:szCs w:val="18"/>
              </w:rPr>
              <w:t>处</w:t>
            </w:r>
          </w:p>
        </w:tc>
        <w:tc>
          <w:tcPr>
            <w:tcW w:w="962" w:type="pct"/>
            <w:vMerge w:val="restart"/>
            <w:tcBorders>
              <w:top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2</w:t>
            </w:r>
            <w:r>
              <w:rPr>
                <w:rFonts w:ascii="Times New Roman" w:eastAsia="宋体"/>
                <w:sz w:val="18"/>
                <w:szCs w:val="18"/>
              </w:rPr>
              <w:t>天</w:t>
            </w:r>
          </w:p>
        </w:tc>
        <w:tc>
          <w:tcPr>
            <w:tcW w:w="1707" w:type="pct"/>
            <w:vMerge w:val="restart"/>
            <w:tcBorders>
              <w:top w:val="single" w:color="000000" w:sz="12" w:space="0"/>
            </w:tcBorders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  <w:r>
              <w:rPr>
                <w:rFonts w:ascii="Times New Roman" w:eastAsia="宋体"/>
                <w:sz w:val="18"/>
                <w:szCs w:val="18"/>
              </w:rPr>
              <w:t>每天</w:t>
            </w:r>
            <w:r>
              <w:rPr>
                <w:rFonts w:hint="eastAsia" w:ascii="Times New Roman" w:eastAsia="宋体"/>
                <w:sz w:val="18"/>
                <w:szCs w:val="18"/>
              </w:rPr>
              <w:t>昼夜</w:t>
            </w:r>
            <w:r>
              <w:rPr>
                <w:rFonts w:ascii="Times New Roman" w:hAnsi="Times New Roman" w:eastAsia="宋体"/>
                <w:sz w:val="18"/>
                <w:szCs w:val="18"/>
              </w:rPr>
              <w:t>1</w:t>
            </w:r>
            <w:r>
              <w:rPr>
                <w:rFonts w:ascii="Times New Roman" w:eastAsia="宋体"/>
                <w:sz w:val="18"/>
                <w:szCs w:val="18"/>
              </w:rPr>
              <w:t>次</w:t>
            </w:r>
          </w:p>
        </w:tc>
      </w:tr>
      <w:tr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616" w:type="pct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color w:val="000000"/>
                <w:kern w:val="0"/>
                <w:sz w:val="18"/>
                <w:szCs w:val="18"/>
              </w:rPr>
              <w:t>N2</w:t>
            </w:r>
          </w:p>
        </w:tc>
        <w:tc>
          <w:tcPr>
            <w:tcW w:w="1713" w:type="pct"/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  <w:r>
              <w:rPr>
                <w:rFonts w:ascii="Times New Roman" w:eastAsia="宋体"/>
                <w:sz w:val="18"/>
                <w:szCs w:val="18"/>
              </w:rPr>
              <w:t>厂界</w:t>
            </w:r>
            <w:r>
              <w:rPr>
                <w:rFonts w:hint="eastAsia" w:ascii="Times New Roman" w:eastAsia="宋体"/>
                <w:sz w:val="18"/>
                <w:szCs w:val="18"/>
              </w:rPr>
              <w:t>南</w:t>
            </w:r>
            <w:r>
              <w:rPr>
                <w:rFonts w:ascii="Times New Roman" w:eastAsia="宋体"/>
                <w:sz w:val="18"/>
                <w:szCs w:val="18"/>
              </w:rPr>
              <w:t>侧</w:t>
            </w:r>
            <w:r>
              <w:rPr>
                <w:rFonts w:hint="eastAsia" w:ascii="Times New Roman" w:eastAsia="宋体"/>
                <w:sz w:val="18"/>
                <w:szCs w:val="18"/>
                <w:lang w:val="en-US" w:eastAsia="zh-CN"/>
              </w:rPr>
              <w:t>外</w:t>
            </w:r>
            <w:r>
              <w:rPr>
                <w:rFonts w:ascii="Times New Roman" w:hAnsi="Times New Roman" w:eastAsia="宋体"/>
                <w:sz w:val="18"/>
                <w:szCs w:val="18"/>
              </w:rPr>
              <w:t>1m</w:t>
            </w:r>
            <w:r>
              <w:rPr>
                <w:rFonts w:ascii="Times New Roman" w:eastAsia="宋体"/>
                <w:sz w:val="18"/>
                <w:szCs w:val="18"/>
              </w:rPr>
              <w:t>处</w:t>
            </w:r>
          </w:p>
        </w:tc>
        <w:tc>
          <w:tcPr>
            <w:tcW w:w="962" w:type="pct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707" w:type="pct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616" w:type="pct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color w:val="000000"/>
                <w:kern w:val="0"/>
                <w:sz w:val="18"/>
                <w:szCs w:val="18"/>
              </w:rPr>
              <w:t>N3</w:t>
            </w:r>
          </w:p>
        </w:tc>
        <w:tc>
          <w:tcPr>
            <w:tcW w:w="1713" w:type="pct"/>
            <w:vAlign w:val="center"/>
          </w:tcPr>
          <w:p>
            <w:pPr>
              <w:jc w:val="center"/>
              <w:rPr>
                <w:rFonts w:ascii="Times New Roman" w:eastAsia="宋体"/>
                <w:sz w:val="18"/>
                <w:szCs w:val="18"/>
              </w:rPr>
            </w:pPr>
            <w:r>
              <w:rPr>
                <w:rFonts w:ascii="Times New Roman" w:eastAsia="宋体"/>
                <w:sz w:val="18"/>
                <w:szCs w:val="18"/>
              </w:rPr>
              <w:t>厂界</w:t>
            </w:r>
            <w:r>
              <w:rPr>
                <w:rFonts w:hint="eastAsia" w:ascii="Times New Roman" w:eastAsia="宋体"/>
                <w:sz w:val="18"/>
                <w:szCs w:val="18"/>
              </w:rPr>
              <w:t>西</w:t>
            </w:r>
            <w:r>
              <w:rPr>
                <w:rFonts w:ascii="Times New Roman" w:eastAsia="宋体"/>
                <w:sz w:val="18"/>
                <w:szCs w:val="18"/>
              </w:rPr>
              <w:t>侧</w:t>
            </w:r>
            <w:r>
              <w:rPr>
                <w:rFonts w:hint="eastAsia" w:ascii="Times New Roman" w:eastAsia="宋体"/>
                <w:sz w:val="18"/>
                <w:szCs w:val="18"/>
                <w:lang w:val="en-US" w:eastAsia="zh-CN"/>
              </w:rPr>
              <w:t>外</w:t>
            </w:r>
            <w:r>
              <w:rPr>
                <w:rFonts w:ascii="Times New Roman" w:hAnsi="Times New Roman" w:eastAsia="宋体"/>
                <w:sz w:val="18"/>
                <w:szCs w:val="18"/>
              </w:rPr>
              <w:t>1m</w:t>
            </w:r>
            <w:r>
              <w:rPr>
                <w:rFonts w:ascii="Times New Roman" w:eastAsia="宋体"/>
                <w:sz w:val="18"/>
                <w:szCs w:val="18"/>
              </w:rPr>
              <w:t>处</w:t>
            </w:r>
          </w:p>
        </w:tc>
        <w:tc>
          <w:tcPr>
            <w:tcW w:w="962" w:type="pct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707" w:type="pct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616" w:type="pct"/>
            <w:vAlign w:val="center"/>
          </w:tcPr>
          <w:p>
            <w:pPr>
              <w:widowControl/>
              <w:jc w:val="center"/>
              <w:textAlignment w:val="center"/>
              <w:rPr>
                <w:rFonts w:ascii="Times New Roman" w:hAnsi="Times New Roman" w:eastAsia="宋体"/>
                <w:color w:val="000000"/>
                <w:kern w:val="0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color w:val="000000"/>
                <w:kern w:val="0"/>
                <w:sz w:val="18"/>
                <w:szCs w:val="18"/>
              </w:rPr>
              <w:t>N4</w:t>
            </w:r>
          </w:p>
        </w:tc>
        <w:tc>
          <w:tcPr>
            <w:tcW w:w="1713" w:type="pct"/>
            <w:vAlign w:val="center"/>
          </w:tcPr>
          <w:p>
            <w:pPr>
              <w:jc w:val="center"/>
              <w:rPr>
                <w:rFonts w:ascii="Times New Roman" w:eastAsia="宋体"/>
                <w:sz w:val="18"/>
                <w:szCs w:val="18"/>
              </w:rPr>
            </w:pPr>
            <w:r>
              <w:rPr>
                <w:rFonts w:ascii="Times New Roman" w:eastAsia="宋体"/>
                <w:sz w:val="18"/>
                <w:szCs w:val="18"/>
              </w:rPr>
              <w:t>厂界</w:t>
            </w:r>
            <w:r>
              <w:rPr>
                <w:rFonts w:hint="eastAsia" w:ascii="Times New Roman" w:eastAsia="宋体"/>
                <w:sz w:val="18"/>
                <w:szCs w:val="18"/>
              </w:rPr>
              <w:t>北</w:t>
            </w:r>
            <w:r>
              <w:rPr>
                <w:rFonts w:ascii="Times New Roman" w:eastAsia="宋体"/>
                <w:sz w:val="18"/>
                <w:szCs w:val="18"/>
              </w:rPr>
              <w:t>侧</w:t>
            </w:r>
            <w:r>
              <w:rPr>
                <w:rFonts w:hint="eastAsia" w:ascii="Times New Roman" w:eastAsia="宋体"/>
                <w:sz w:val="18"/>
                <w:szCs w:val="18"/>
                <w:lang w:val="en-US" w:eastAsia="zh-CN"/>
              </w:rPr>
              <w:t>外</w:t>
            </w:r>
            <w:r>
              <w:rPr>
                <w:rFonts w:ascii="Times New Roman" w:hAnsi="Times New Roman" w:eastAsia="宋体"/>
                <w:sz w:val="18"/>
                <w:szCs w:val="18"/>
              </w:rPr>
              <w:t>1m</w:t>
            </w:r>
            <w:r>
              <w:rPr>
                <w:rFonts w:ascii="Times New Roman" w:eastAsia="宋体"/>
                <w:sz w:val="18"/>
                <w:szCs w:val="18"/>
              </w:rPr>
              <w:t>处</w:t>
            </w:r>
          </w:p>
        </w:tc>
        <w:tc>
          <w:tcPr>
            <w:tcW w:w="962" w:type="pct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</w:p>
        </w:tc>
        <w:tc>
          <w:tcPr>
            <w:tcW w:w="1707" w:type="pct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</w:p>
        </w:tc>
      </w:tr>
      <w:tr>
        <w:tblPrEx>
          <w:tblBorders>
            <w:top w:val="single" w:color="000000" w:sz="12" w:space="0"/>
            <w:left w:val="none" w:color="auto" w:sz="0" w:space="0"/>
            <w:bottom w:val="single" w:color="000000" w:sz="12" w:space="0"/>
            <w:right w:val="none" w:color="auto" w:sz="0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atLeast"/>
          <w:jc w:val="center"/>
        </w:trPr>
        <w:tc>
          <w:tcPr>
            <w:tcW w:w="5000" w:type="pct"/>
            <w:gridSpan w:val="4"/>
            <w:vAlign w:val="center"/>
          </w:tcPr>
          <w:p>
            <w:pPr>
              <w:jc w:val="center"/>
              <w:rPr>
                <w:rFonts w:ascii="Times New Roman" w:hAnsi="Times New Roman" w:eastAsia="宋体"/>
                <w:sz w:val="18"/>
                <w:szCs w:val="18"/>
              </w:rPr>
            </w:pPr>
            <w:r>
              <w:rPr>
                <w:rFonts w:hint="eastAsia" w:ascii="Times New Roman" w:hAnsi="Times New Roman" w:eastAsia="宋体"/>
                <w:sz w:val="18"/>
                <w:szCs w:val="18"/>
                <w:lang w:val="en-US" w:eastAsia="zh-CN"/>
              </w:rPr>
              <w:t>执行标准：《工业企业厂界环境噪声排放标准》（GB 12348—2008 ）表 1 中 3 类限值要求。</w:t>
            </w:r>
          </w:p>
        </w:tc>
      </w:tr>
    </w:tbl>
    <w:p>
      <w:pPr>
        <w:pStyle w:val="10"/>
        <w:spacing w:beforeLines="100" w:afterLines="100"/>
        <w:jc w:val="left"/>
        <w:outlineLvl w:val="0"/>
        <w:rPr>
          <w:rFonts w:hAnsi="黑体" w:eastAsia="黑体"/>
          <w:color w:val="FF0000"/>
          <w:sz w:val="28"/>
        </w:rPr>
      </w:pPr>
      <w:r>
        <w:rPr>
          <w:rFonts w:hint="eastAsia" w:ascii="黑体" w:hAnsi="黑体" w:eastAsia="黑体"/>
          <w:color w:val="FF0000"/>
          <w:sz w:val="28"/>
          <w:lang w:val="en-US" w:eastAsia="zh-CN"/>
        </w:rPr>
        <w:t>五、有组织废气</w:t>
      </w:r>
      <w:r>
        <w:rPr>
          <w:rFonts w:hAnsi="黑体" w:eastAsia="黑体"/>
          <w:color w:val="FF0000"/>
          <w:sz w:val="28"/>
        </w:rPr>
        <w:t>监测</w:t>
      </w:r>
    </w:p>
    <w:p>
      <w:pPr>
        <w:pStyle w:val="12"/>
        <w:spacing w:before="156"/>
        <w:rPr>
          <w:color w:val="FF0000"/>
        </w:rPr>
      </w:pPr>
      <w:r>
        <w:rPr>
          <w:rFonts w:hAnsi="黑体"/>
          <w:color w:val="FF0000"/>
        </w:rPr>
        <w:t>表</w:t>
      </w:r>
      <w:r>
        <w:rPr>
          <w:rFonts w:hint="eastAsia"/>
          <w:color w:val="FF0000"/>
        </w:rPr>
        <w:t>2</w:t>
      </w:r>
      <w:r>
        <w:rPr>
          <w:color w:val="FF0000"/>
        </w:rPr>
        <w:t xml:space="preserve">  </w:t>
      </w:r>
      <w:r>
        <w:rPr>
          <w:rFonts w:hAnsi="黑体"/>
          <w:color w:val="FF0000"/>
        </w:rPr>
        <w:t>废气无组织污染源监测点位及因子一览表</w:t>
      </w:r>
    </w:p>
    <w:tbl>
      <w:tblPr>
        <w:tblStyle w:val="8"/>
        <w:tblW w:w="5000" w:type="pct"/>
        <w:jc w:val="center"/>
        <w:tblBorders>
          <w:top w:val="single" w:color="auto" w:sz="12" w:space="0"/>
          <w:left w:val="none" w:color="auto" w:sz="0" w:space="0"/>
          <w:bottom w:val="single" w:color="auto" w:sz="12" w:space="0"/>
          <w:right w:val="none" w:color="auto" w:sz="0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9"/>
        <w:gridCol w:w="852"/>
        <w:gridCol w:w="2250"/>
        <w:gridCol w:w="1052"/>
        <w:gridCol w:w="989"/>
        <w:gridCol w:w="1471"/>
        <w:gridCol w:w="1089"/>
      </w:tblGrid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481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color w:val="FF0000"/>
                <w:szCs w:val="18"/>
              </w:rPr>
            </w:pPr>
            <w:r>
              <w:rPr>
                <w:color w:val="FF0000"/>
                <w:szCs w:val="18"/>
              </w:rPr>
              <w:t>排放类型</w:t>
            </w:r>
          </w:p>
        </w:tc>
        <w:tc>
          <w:tcPr>
            <w:tcW w:w="500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color w:val="FF0000"/>
                <w:szCs w:val="18"/>
              </w:rPr>
            </w:pPr>
            <w:r>
              <w:rPr>
                <w:color w:val="FF0000"/>
                <w:szCs w:val="18"/>
              </w:rPr>
              <w:t>测点编号</w:t>
            </w:r>
          </w:p>
        </w:tc>
        <w:tc>
          <w:tcPr>
            <w:tcW w:w="1320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color w:val="FF0000"/>
                <w:szCs w:val="18"/>
              </w:rPr>
            </w:pPr>
            <w:r>
              <w:rPr>
                <w:color w:val="FF0000"/>
                <w:szCs w:val="18"/>
              </w:rPr>
              <w:t>测点位置</w:t>
            </w:r>
          </w:p>
        </w:tc>
        <w:tc>
          <w:tcPr>
            <w:tcW w:w="617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color w:val="FF0000"/>
                <w:szCs w:val="18"/>
              </w:rPr>
            </w:pPr>
            <w:r>
              <w:rPr>
                <w:color w:val="FF0000"/>
                <w:szCs w:val="18"/>
              </w:rPr>
              <w:t>监测因子</w:t>
            </w:r>
          </w:p>
        </w:tc>
        <w:tc>
          <w:tcPr>
            <w:tcW w:w="580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color w:val="FF0000"/>
                <w:szCs w:val="18"/>
              </w:rPr>
            </w:pPr>
            <w:r>
              <w:rPr>
                <w:color w:val="FF0000"/>
                <w:szCs w:val="18"/>
              </w:rPr>
              <w:t>监测天数</w:t>
            </w:r>
          </w:p>
        </w:tc>
        <w:tc>
          <w:tcPr>
            <w:tcW w:w="863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color w:val="FF0000"/>
                <w:szCs w:val="18"/>
              </w:rPr>
            </w:pPr>
            <w:r>
              <w:rPr>
                <w:color w:val="FF0000"/>
                <w:szCs w:val="18"/>
              </w:rPr>
              <w:t>监测频次及要求</w:t>
            </w:r>
          </w:p>
        </w:tc>
        <w:tc>
          <w:tcPr>
            <w:tcW w:w="637" w:type="pct"/>
            <w:tcBorders>
              <w:bottom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color w:val="FF0000"/>
                <w:szCs w:val="18"/>
              </w:rPr>
            </w:pPr>
            <w:r>
              <w:rPr>
                <w:color w:val="FF0000"/>
                <w:szCs w:val="18"/>
              </w:rPr>
              <w:t>备注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40" w:hRule="atLeast"/>
          <w:jc w:val="center"/>
        </w:trPr>
        <w:tc>
          <w:tcPr>
            <w:tcW w:w="481" w:type="pct"/>
            <w:tcBorders>
              <w:top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color w:val="FF0000"/>
                <w:szCs w:val="18"/>
              </w:rPr>
            </w:pPr>
            <w:r>
              <w:rPr>
                <w:rFonts w:hint="eastAsia"/>
                <w:color w:val="FF0000"/>
                <w:szCs w:val="18"/>
                <w:lang w:val="en-US" w:eastAsia="zh-CN"/>
              </w:rPr>
              <w:t>有</w:t>
            </w:r>
            <w:r>
              <w:rPr>
                <w:color w:val="FF0000"/>
                <w:szCs w:val="18"/>
              </w:rPr>
              <w:t>组织</w:t>
            </w:r>
          </w:p>
        </w:tc>
        <w:tc>
          <w:tcPr>
            <w:tcW w:w="500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rFonts w:hint="default" w:eastAsia="宋体"/>
                <w:color w:val="FF0000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Cs w:val="18"/>
                <w:lang w:val="en-US" w:eastAsia="zh-CN"/>
              </w:rPr>
              <w:t>DA001</w:t>
            </w:r>
          </w:p>
        </w:tc>
        <w:tc>
          <w:tcPr>
            <w:tcW w:w="1320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color w:val="FF0000"/>
                <w:szCs w:val="18"/>
              </w:rPr>
            </w:pPr>
            <w:r>
              <w:rPr>
                <w:rFonts w:hint="eastAsia" w:ascii="宋体" w:hAnsi="宋体" w:eastAsia="宋体" w:cs="宋体"/>
                <w:color w:val="FF0000"/>
                <w:kern w:val="0"/>
                <w:sz w:val="20"/>
                <w:szCs w:val="20"/>
                <w:lang w:val="en-US" w:eastAsia="zh-CN" w:bidi="ar"/>
              </w:rPr>
              <w:t>废气排放口（进出口））</w:t>
            </w:r>
          </w:p>
        </w:tc>
        <w:tc>
          <w:tcPr>
            <w:tcW w:w="617" w:type="pct"/>
            <w:tcBorders>
              <w:top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color w:val="FF0000"/>
                <w:szCs w:val="18"/>
              </w:rPr>
            </w:pPr>
            <w:r>
              <w:rPr>
                <w:color w:val="FF0000"/>
                <w:u w:color="auto"/>
              </w:rPr>
              <w:t>非甲烷总烃、锡及其化合物、</w:t>
            </w:r>
            <w:r>
              <w:rPr>
                <w:rFonts w:hint="eastAsia"/>
                <w:color w:val="FF0000"/>
                <w:u w:color="auto"/>
                <w:lang w:val="en-US" w:eastAsia="zh-CN"/>
              </w:rPr>
              <w:t>烟气</w:t>
            </w:r>
            <w:r>
              <w:rPr>
                <w:color w:val="FF0000"/>
                <w:u w:color="auto"/>
              </w:rPr>
              <w:t>参数</w:t>
            </w:r>
          </w:p>
        </w:tc>
        <w:tc>
          <w:tcPr>
            <w:tcW w:w="580" w:type="pct"/>
            <w:tcBorders>
              <w:top w:val="single" w:color="auto" w:sz="12" w:space="0"/>
              <w:bottom w:val="single" w:color="auto" w:sz="4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rFonts w:hint="eastAsia" w:eastAsia="宋体"/>
                <w:color w:val="FF0000"/>
                <w:szCs w:val="18"/>
                <w:lang w:eastAsia="zh-CN"/>
              </w:rPr>
            </w:pPr>
            <w:r>
              <w:rPr>
                <w:rFonts w:hint="eastAsia"/>
                <w:color w:val="FF0000"/>
                <w:szCs w:val="18"/>
                <w:lang w:val="en-US" w:eastAsia="zh-CN"/>
              </w:rPr>
              <w:t>1</w:t>
            </w:r>
          </w:p>
        </w:tc>
        <w:tc>
          <w:tcPr>
            <w:tcW w:w="863" w:type="pct"/>
            <w:tcBorders>
              <w:top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rPr>
                <w:color w:val="FF0000"/>
                <w:szCs w:val="18"/>
              </w:rPr>
            </w:pPr>
            <w:r>
              <w:rPr>
                <w:color w:val="FF0000"/>
                <w:szCs w:val="18"/>
              </w:rPr>
              <w:t>每天</w:t>
            </w:r>
            <w:r>
              <w:rPr>
                <w:rFonts w:hint="eastAsia"/>
                <w:color w:val="FF0000"/>
                <w:szCs w:val="18"/>
                <w:lang w:val="en-US" w:eastAsia="zh-CN"/>
              </w:rPr>
              <w:t>3</w:t>
            </w:r>
            <w:r>
              <w:rPr>
                <w:color w:val="FF0000"/>
                <w:szCs w:val="18"/>
              </w:rPr>
              <w:t>次，同步进行风向、风速、气温、大气压力及云量等常规气象参数的观测</w:t>
            </w:r>
          </w:p>
        </w:tc>
        <w:tc>
          <w:tcPr>
            <w:tcW w:w="637" w:type="pct"/>
            <w:tcBorders>
              <w:top w:val="single" w:color="auto" w:sz="12" w:space="0"/>
            </w:tcBorders>
            <w:vAlign w:val="center"/>
          </w:tcPr>
          <w:p>
            <w:pPr>
              <w:pStyle w:val="10"/>
              <w:adjustRightInd w:val="0"/>
              <w:snapToGrid w:val="0"/>
              <w:jc w:val="both"/>
              <w:rPr>
                <w:rFonts w:hint="default" w:eastAsia="宋体"/>
                <w:color w:val="FF0000"/>
                <w:szCs w:val="18"/>
                <w:lang w:val="en-US" w:eastAsia="zh-CN"/>
              </w:rPr>
            </w:pPr>
            <w:r>
              <w:rPr>
                <w:rFonts w:hint="eastAsia"/>
                <w:color w:val="FF0000"/>
                <w:szCs w:val="18"/>
                <w:lang w:val="en-US" w:eastAsia="zh-CN"/>
              </w:rPr>
              <w:t>//</w:t>
            </w:r>
          </w:p>
        </w:tc>
      </w:tr>
      <w:tr>
        <w:tblPrEx>
          <w:tblBorders>
            <w:top w:val="single" w:color="auto" w:sz="12" w:space="0"/>
            <w:left w:val="none" w:color="auto" w:sz="0" w:space="0"/>
            <w:bottom w:val="single" w:color="auto" w:sz="12" w:space="0"/>
            <w:right w:val="none" w:color="auto" w:sz="0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1" w:hRule="atLeast"/>
          <w:jc w:val="center"/>
        </w:trPr>
        <w:tc>
          <w:tcPr>
            <w:tcW w:w="5000" w:type="pct"/>
            <w:gridSpan w:val="7"/>
            <w:vAlign w:val="center"/>
          </w:tcPr>
          <w:p>
            <w:pPr>
              <w:pStyle w:val="10"/>
              <w:adjustRightInd w:val="0"/>
              <w:snapToGrid w:val="0"/>
              <w:rPr>
                <w:rFonts w:hint="default" w:eastAsia="宋体"/>
                <w:color w:val="FF0000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FF0000"/>
                <w:sz w:val="18"/>
                <w:szCs w:val="18"/>
                <w:lang w:val="en-US" w:eastAsia="zh-CN"/>
              </w:rPr>
              <w:t>执行标准：</w:t>
            </w:r>
            <w:r>
              <w:rPr>
                <w:color w:val="FF0000"/>
                <w:u w:color="auto"/>
              </w:rPr>
              <w:t>《挥发性有机物无组织排放控制标准》 (GB37822-2019)</w:t>
            </w:r>
            <w:r>
              <w:rPr>
                <w:rFonts w:hint="eastAsia" w:ascii="Times New Roman" w:hAnsi="Times New Roman" w:cs="Times New Roman"/>
                <w:color w:val="FF0000"/>
                <w:sz w:val="18"/>
                <w:szCs w:val="18"/>
                <w:lang w:val="en-US" w:eastAsia="zh-CN"/>
              </w:rPr>
              <w:t>无组织限值要求</w:t>
            </w:r>
          </w:p>
        </w:tc>
      </w:tr>
    </w:tbl>
    <w:p>
      <w:pPr>
        <w:pStyle w:val="10"/>
        <w:spacing w:beforeLines="100" w:afterLines="100"/>
        <w:jc w:val="left"/>
        <w:outlineLvl w:val="0"/>
        <w:rPr>
          <w:szCs w:val="18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bidi w:val="0"/>
        <w:rPr>
          <w:rFonts w:hint="default"/>
          <w:sz w:val="84"/>
          <w:szCs w:val="84"/>
          <w:lang w:val="en-US" w:eastAsia="zh-CN"/>
        </w:rPr>
      </w:pPr>
      <w:r>
        <w:rPr>
          <w:rFonts w:hint="eastAsia"/>
          <w:sz w:val="84"/>
          <w:szCs w:val="84"/>
          <w:lang w:val="en-US" w:eastAsia="zh-CN"/>
        </w:rPr>
        <w:t>附上企业厂界图</w:t>
      </w: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bidi w:val="0"/>
        <w:rPr>
          <w:lang w:val="en-US" w:eastAsia="zh-CN"/>
        </w:rPr>
      </w:pPr>
    </w:p>
    <w:p>
      <w:pPr>
        <w:tabs>
          <w:tab w:val="left" w:pos="13691"/>
        </w:tabs>
        <w:bidi w:val="0"/>
        <w:jc w:val="left"/>
        <w:rPr>
          <w:lang w:val="en-US" w:eastAsia="zh-CN"/>
        </w:rPr>
      </w:pPr>
      <w:r>
        <w:rPr>
          <w:rFonts w:hint="eastAsia"/>
          <w:lang w:val="en-US" w:eastAsia="zh-CN"/>
        </w:rPr>
        <w:tab/>
      </w: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decorative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127EE24"/>
    <w:multiLevelType w:val="multilevel"/>
    <w:tmpl w:val="6127EE24"/>
    <w:lvl w:ilvl="0" w:tentative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75" w:hanging="575"/>
      </w:pPr>
      <w:rPr>
        <w:rFonts w:hint="default" w:ascii="宋体" w:hAnsi="宋体" w:eastAsia="宋体"/>
      </w:rPr>
    </w:lvl>
    <w:lvl w:ilvl="2" w:tentative="0">
      <w:start w:val="1"/>
      <w:numFmt w:val="decimal"/>
      <w:lvlText w:val="%1.%2.%3."/>
      <w:lvlJc w:val="left"/>
      <w:pPr>
        <w:ind w:left="720" w:hanging="720"/>
      </w:pPr>
      <w:rPr>
        <w:rFonts w:hint="default" w:ascii="宋体" w:hAnsi="宋体" w:eastAsia="宋体"/>
      </w:rPr>
    </w:lvl>
    <w:lvl w:ilvl="3" w:tentative="0">
      <w:start w:val="1"/>
      <w:numFmt w:val="decimal"/>
      <w:pStyle w:val="2"/>
      <w:lvlText w:val="%1.%2.%3.%4."/>
      <w:lvlJc w:val="left"/>
      <w:pPr>
        <w:ind w:left="864" w:hanging="864"/>
      </w:pPr>
      <w:rPr>
        <w:rFonts w:hint="default" w:ascii="宋体" w:hAnsi="宋体" w:eastAsia="宋体"/>
      </w:rPr>
    </w:lvl>
    <w:lvl w:ilvl="4" w:tentative="0">
      <w:start w:val="1"/>
      <w:numFmt w:val="decimal"/>
      <w:lvlText w:val="%1.%2.%3.%4.%5."/>
      <w:lvlJc w:val="left"/>
      <w:pPr>
        <w:ind w:left="1008" w:hanging="1008"/>
      </w:pPr>
      <w:rPr>
        <w:rFonts w:hint="default" w:ascii="宋体" w:hAnsi="宋体" w:eastAsia="宋体"/>
      </w:rPr>
    </w:lvl>
    <w:lvl w:ilvl="5" w:tentative="0">
      <w:start w:val="1"/>
      <w:numFmt w:val="decimal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YjdhMzlhYWI3ZDRmOTJkMGMwMjg4Mjk2MjJlYTk1OTEifQ=="/>
  </w:docVars>
  <w:rsids>
    <w:rsidRoot w:val="00CB7411"/>
    <w:rsid w:val="00000350"/>
    <w:rsid w:val="000118A4"/>
    <w:rsid w:val="0001688F"/>
    <w:rsid w:val="00030A78"/>
    <w:rsid w:val="00041E13"/>
    <w:rsid w:val="00044AFA"/>
    <w:rsid w:val="000A6D38"/>
    <w:rsid w:val="000B7261"/>
    <w:rsid w:val="000C1906"/>
    <w:rsid w:val="000E098D"/>
    <w:rsid w:val="000F5CAE"/>
    <w:rsid w:val="001313FC"/>
    <w:rsid w:val="00145A22"/>
    <w:rsid w:val="001C7D55"/>
    <w:rsid w:val="001E09D8"/>
    <w:rsid w:val="001F36CA"/>
    <w:rsid w:val="00203FFE"/>
    <w:rsid w:val="002103ED"/>
    <w:rsid w:val="00262D24"/>
    <w:rsid w:val="002840D5"/>
    <w:rsid w:val="002D4D08"/>
    <w:rsid w:val="002D5232"/>
    <w:rsid w:val="00316A20"/>
    <w:rsid w:val="003353AB"/>
    <w:rsid w:val="003408FA"/>
    <w:rsid w:val="0035276A"/>
    <w:rsid w:val="003647EE"/>
    <w:rsid w:val="003B7DDC"/>
    <w:rsid w:val="003E079D"/>
    <w:rsid w:val="003E4786"/>
    <w:rsid w:val="003E5ABB"/>
    <w:rsid w:val="003F6910"/>
    <w:rsid w:val="004304B5"/>
    <w:rsid w:val="00433BB3"/>
    <w:rsid w:val="00433F5C"/>
    <w:rsid w:val="00437521"/>
    <w:rsid w:val="0045155B"/>
    <w:rsid w:val="004552BC"/>
    <w:rsid w:val="004949E1"/>
    <w:rsid w:val="004C2DE8"/>
    <w:rsid w:val="00540A88"/>
    <w:rsid w:val="00542395"/>
    <w:rsid w:val="005521EB"/>
    <w:rsid w:val="00586A8D"/>
    <w:rsid w:val="00590C13"/>
    <w:rsid w:val="005C1E3A"/>
    <w:rsid w:val="005D4D60"/>
    <w:rsid w:val="00602EF7"/>
    <w:rsid w:val="0060615A"/>
    <w:rsid w:val="006420B5"/>
    <w:rsid w:val="006442D1"/>
    <w:rsid w:val="00647501"/>
    <w:rsid w:val="00660BD2"/>
    <w:rsid w:val="006A077E"/>
    <w:rsid w:val="006B62C0"/>
    <w:rsid w:val="006C162B"/>
    <w:rsid w:val="006E2F5A"/>
    <w:rsid w:val="00747239"/>
    <w:rsid w:val="00766D14"/>
    <w:rsid w:val="00775165"/>
    <w:rsid w:val="0079107D"/>
    <w:rsid w:val="00794749"/>
    <w:rsid w:val="007A61CC"/>
    <w:rsid w:val="007A6E32"/>
    <w:rsid w:val="007A6E84"/>
    <w:rsid w:val="007B7884"/>
    <w:rsid w:val="007C2791"/>
    <w:rsid w:val="00824DB1"/>
    <w:rsid w:val="0086554D"/>
    <w:rsid w:val="008B094B"/>
    <w:rsid w:val="008B0F49"/>
    <w:rsid w:val="008D331B"/>
    <w:rsid w:val="008E35F2"/>
    <w:rsid w:val="008E52C2"/>
    <w:rsid w:val="009836C2"/>
    <w:rsid w:val="009A49BC"/>
    <w:rsid w:val="009C15B7"/>
    <w:rsid w:val="009D173D"/>
    <w:rsid w:val="00A0385C"/>
    <w:rsid w:val="00A0391E"/>
    <w:rsid w:val="00A1497D"/>
    <w:rsid w:val="00A35718"/>
    <w:rsid w:val="00A519A0"/>
    <w:rsid w:val="00AA30E8"/>
    <w:rsid w:val="00AB78CF"/>
    <w:rsid w:val="00AC37F5"/>
    <w:rsid w:val="00AD5B4C"/>
    <w:rsid w:val="00B2419C"/>
    <w:rsid w:val="00B63692"/>
    <w:rsid w:val="00B74D7C"/>
    <w:rsid w:val="00BB4B13"/>
    <w:rsid w:val="00BC2E48"/>
    <w:rsid w:val="00BE2790"/>
    <w:rsid w:val="00C01A86"/>
    <w:rsid w:val="00C0717A"/>
    <w:rsid w:val="00C22F87"/>
    <w:rsid w:val="00C433D8"/>
    <w:rsid w:val="00C50D9C"/>
    <w:rsid w:val="00C57F63"/>
    <w:rsid w:val="00C61F55"/>
    <w:rsid w:val="00C63203"/>
    <w:rsid w:val="00C71E86"/>
    <w:rsid w:val="00C91E78"/>
    <w:rsid w:val="00CB099F"/>
    <w:rsid w:val="00CB7411"/>
    <w:rsid w:val="00CC14CB"/>
    <w:rsid w:val="00CC6877"/>
    <w:rsid w:val="00CF7E8C"/>
    <w:rsid w:val="00D172B3"/>
    <w:rsid w:val="00D21DDF"/>
    <w:rsid w:val="00D26FBE"/>
    <w:rsid w:val="00D536B7"/>
    <w:rsid w:val="00D56818"/>
    <w:rsid w:val="00D70DB2"/>
    <w:rsid w:val="00DA36D5"/>
    <w:rsid w:val="00DB3306"/>
    <w:rsid w:val="00DD68F5"/>
    <w:rsid w:val="00DF158F"/>
    <w:rsid w:val="00E05CD1"/>
    <w:rsid w:val="00E55A7D"/>
    <w:rsid w:val="00E718C8"/>
    <w:rsid w:val="00EB118C"/>
    <w:rsid w:val="00EF0F4F"/>
    <w:rsid w:val="00EF5BE1"/>
    <w:rsid w:val="00F00640"/>
    <w:rsid w:val="00F21AFA"/>
    <w:rsid w:val="00F2400E"/>
    <w:rsid w:val="00F470A1"/>
    <w:rsid w:val="00F51A08"/>
    <w:rsid w:val="00F67721"/>
    <w:rsid w:val="00F81C7B"/>
    <w:rsid w:val="00F862EC"/>
    <w:rsid w:val="00F943A3"/>
    <w:rsid w:val="00FD1999"/>
    <w:rsid w:val="00FF73B0"/>
    <w:rsid w:val="01852244"/>
    <w:rsid w:val="02D2181F"/>
    <w:rsid w:val="045E6757"/>
    <w:rsid w:val="066C69AE"/>
    <w:rsid w:val="096A056D"/>
    <w:rsid w:val="0CB6783F"/>
    <w:rsid w:val="0D292186"/>
    <w:rsid w:val="0F3063CE"/>
    <w:rsid w:val="0FE577F7"/>
    <w:rsid w:val="1F360291"/>
    <w:rsid w:val="2D860978"/>
    <w:rsid w:val="2FE93C88"/>
    <w:rsid w:val="3130189D"/>
    <w:rsid w:val="34136567"/>
    <w:rsid w:val="345360B3"/>
    <w:rsid w:val="35A9142C"/>
    <w:rsid w:val="39E87FD4"/>
    <w:rsid w:val="3C825975"/>
    <w:rsid w:val="3F1E2728"/>
    <w:rsid w:val="45EE7EBD"/>
    <w:rsid w:val="474F6FE7"/>
    <w:rsid w:val="49E83208"/>
    <w:rsid w:val="4EF51227"/>
    <w:rsid w:val="518219A5"/>
    <w:rsid w:val="599B2CFF"/>
    <w:rsid w:val="5B3340B8"/>
    <w:rsid w:val="656D6997"/>
    <w:rsid w:val="68D629AC"/>
    <w:rsid w:val="74DF5450"/>
    <w:rsid w:val="75E02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qFormat="1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4"/>
    <w:basedOn w:val="1"/>
    <w:next w:val="1"/>
    <w:semiHidden/>
    <w:unhideWhenUsed/>
    <w:qFormat/>
    <w:uiPriority w:val="9"/>
    <w:pPr>
      <w:keepNext/>
      <w:keepLines/>
      <w:numPr>
        <w:ilvl w:val="3"/>
        <w:numId w:val="1"/>
      </w:numPr>
      <w:spacing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unhideWhenUsed/>
    <w:qFormat/>
    <w:uiPriority w:val="1"/>
  </w:style>
  <w:style w:type="table" w:default="1" w:styleId="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 Indent"/>
    <w:basedOn w:val="1"/>
    <w:link w:val="14"/>
    <w:unhideWhenUsed/>
    <w:qFormat/>
    <w:uiPriority w:val="99"/>
    <w:pPr>
      <w:spacing w:before="100" w:beforeAutospacing="1" w:after="120" w:line="400" w:lineRule="exact"/>
      <w:ind w:firstLine="480"/>
    </w:pPr>
    <w:rPr>
      <w:rFonts w:ascii="Times New Roman" w:hAnsi="Times New Roman" w:eastAsia="楷体_GB2312" w:cs="Times New Roman"/>
      <w:sz w:val="24"/>
      <w:szCs w:val="24"/>
    </w:rPr>
  </w:style>
  <w:style w:type="paragraph" w:styleId="4">
    <w:name w:val="Balloon Text"/>
    <w:basedOn w:val="1"/>
    <w:link w:val="17"/>
    <w:semiHidden/>
    <w:unhideWhenUsed/>
    <w:uiPriority w:val="99"/>
    <w:rPr>
      <w:sz w:val="18"/>
      <w:szCs w:val="18"/>
    </w:rPr>
  </w:style>
  <w:style w:type="paragraph" w:styleId="5">
    <w:name w:val="footer"/>
    <w:basedOn w:val="1"/>
    <w:link w:val="16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5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Normal (Web)"/>
    <w:basedOn w:val="1"/>
    <w:unhideWhenUsed/>
    <w:qFormat/>
    <w:uiPriority w:val="99"/>
    <w:rPr>
      <w:rFonts w:ascii="Times New Roman" w:hAnsi="Times New Roman" w:eastAsia="宋体" w:cs="Times New Roman"/>
      <w:sz w:val="24"/>
      <w:szCs w:val="24"/>
    </w:rPr>
  </w:style>
  <w:style w:type="paragraph" w:customStyle="1" w:styleId="10">
    <w:name w:val="表内格式"/>
    <w:basedOn w:val="1"/>
    <w:link w:val="11"/>
    <w:qFormat/>
    <w:uiPriority w:val="0"/>
    <w:pPr>
      <w:jc w:val="center"/>
    </w:pPr>
    <w:rPr>
      <w:rFonts w:ascii="Times New Roman" w:hAnsi="Times New Roman" w:eastAsia="宋体" w:cs="Times New Roman"/>
      <w:sz w:val="18"/>
      <w:szCs w:val="20"/>
    </w:rPr>
  </w:style>
  <w:style w:type="character" w:customStyle="1" w:styleId="11">
    <w:name w:val="表内格式 Char1"/>
    <w:basedOn w:val="9"/>
    <w:link w:val="10"/>
    <w:qFormat/>
    <w:uiPriority w:val="0"/>
    <w:rPr>
      <w:rFonts w:ascii="Times New Roman" w:hAnsi="Times New Roman" w:eastAsia="宋体" w:cs="Times New Roman"/>
      <w:sz w:val="18"/>
      <w:szCs w:val="20"/>
    </w:rPr>
  </w:style>
  <w:style w:type="paragraph" w:customStyle="1" w:styleId="12">
    <w:name w:val="表头样式1"/>
    <w:basedOn w:val="1"/>
    <w:qFormat/>
    <w:uiPriority w:val="0"/>
    <w:pPr>
      <w:spacing w:beforeLines="50"/>
      <w:jc w:val="center"/>
    </w:pPr>
    <w:rPr>
      <w:rFonts w:ascii="Times New Roman" w:hAnsi="Times New Roman" w:eastAsia="黑体" w:cs="Times New Roman"/>
      <w:b/>
      <w:sz w:val="24"/>
      <w:szCs w:val="20"/>
    </w:rPr>
  </w:style>
  <w:style w:type="paragraph" w:customStyle="1" w:styleId="13">
    <w:name w:val="君邦正文"/>
    <w:qFormat/>
    <w:uiPriority w:val="0"/>
    <w:pPr>
      <w:spacing w:after="60" w:line="360" w:lineRule="auto"/>
      <w:ind w:firstLine="480" w:firstLineChars="200"/>
      <w:jc w:val="both"/>
    </w:pPr>
    <w:rPr>
      <w:rFonts w:ascii="Times New Roman" w:hAnsi="Times New Roman" w:eastAsia="宋体" w:cs="Times New Roman"/>
      <w:bCs/>
      <w:snapToGrid w:val="0"/>
      <w:sz w:val="24"/>
      <w:szCs w:val="22"/>
      <w:lang w:val="en-US" w:eastAsia="zh-CN" w:bidi="ar-SA"/>
    </w:rPr>
  </w:style>
  <w:style w:type="character" w:customStyle="1" w:styleId="14">
    <w:name w:val="正文文本缩进 Char"/>
    <w:basedOn w:val="9"/>
    <w:link w:val="3"/>
    <w:qFormat/>
    <w:uiPriority w:val="99"/>
    <w:rPr>
      <w:rFonts w:ascii="Times New Roman" w:hAnsi="Times New Roman" w:eastAsia="楷体_GB2312" w:cs="Times New Roman"/>
      <w:sz w:val="24"/>
      <w:szCs w:val="24"/>
    </w:rPr>
  </w:style>
  <w:style w:type="character" w:customStyle="1" w:styleId="15">
    <w:name w:val="页眉 Char"/>
    <w:basedOn w:val="9"/>
    <w:link w:val="6"/>
    <w:semiHidden/>
    <w:qFormat/>
    <w:uiPriority w:val="99"/>
    <w:rPr>
      <w:sz w:val="18"/>
      <w:szCs w:val="18"/>
    </w:rPr>
  </w:style>
  <w:style w:type="character" w:customStyle="1" w:styleId="16">
    <w:name w:val="页脚 Char"/>
    <w:basedOn w:val="9"/>
    <w:link w:val="5"/>
    <w:semiHidden/>
    <w:qFormat/>
    <w:uiPriority w:val="99"/>
    <w:rPr>
      <w:sz w:val="18"/>
      <w:szCs w:val="18"/>
    </w:rPr>
  </w:style>
  <w:style w:type="character" w:customStyle="1" w:styleId="17">
    <w:name w:val="批注框文本 Char"/>
    <w:basedOn w:val="9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509</Words>
  <Characters>590</Characters>
  <Lines>6</Lines>
  <Paragraphs>1</Paragraphs>
  <TotalTime>5</TotalTime>
  <ScaleCrop>false</ScaleCrop>
  <LinksUpToDate>false</LinksUpToDate>
  <CharactersWithSpaces>599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2022-03-11T09:44:00Z</dcterms:created>
  <dc:creator>ZhaoXinwei</dc:creator>
  <cp:lastModifiedBy>赵庆</cp:lastModifiedBy>
  <cp:lastPrinted>2021-09-01T02:43:00Z</cp:lastPrinted>
  <dcterms:modified xsi:type="dcterms:W3CDTF">2024-09-04T00:44:09Z</dcterms:modified>
  <cp:revision>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5D7FBDEE4D2B45E5B50BAF5EAEFDF232_12</vt:lpwstr>
  </property>
</Properties>
</file>