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73A27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武汉南瑞祥环保有限公司自行监测</w:t>
      </w:r>
      <w:r>
        <w:rPr>
          <w:rFonts w:hint="eastAsia"/>
          <w:b/>
          <w:bCs/>
          <w:sz w:val="28"/>
          <w:szCs w:val="28"/>
        </w:rPr>
        <w:t>方案</w:t>
      </w:r>
    </w:p>
    <w:tbl>
      <w:tblPr>
        <w:tblStyle w:val="11"/>
        <w:tblW w:w="149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952"/>
        <w:gridCol w:w="2242"/>
        <w:gridCol w:w="5416"/>
        <w:gridCol w:w="2595"/>
        <w:gridCol w:w="1115"/>
        <w:gridCol w:w="1600"/>
      </w:tblGrid>
      <w:tr w14:paraId="0087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shd w:val="clear" w:color="auto" w:fill="auto"/>
            <w:vAlign w:val="center"/>
          </w:tcPr>
          <w:p w14:paraId="14444F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检测类别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F9E7D2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排放口编号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2523C32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排放口名称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A70F27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检测项目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453D305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频次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049D32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年检测次数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3422EB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 w14:paraId="29A26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restart"/>
            <w:shd w:val="clear" w:color="auto" w:fill="auto"/>
            <w:vAlign w:val="center"/>
          </w:tcPr>
          <w:p w14:paraId="403126C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有组织废气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006CB29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DA003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00E65DC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污水处理站废气塔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E2312FE">
            <w:pPr>
              <w:tabs>
                <w:tab w:val="left" w:pos="1806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氨（氨气）、臭气浓度、非甲烷总烃、硫化氢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1F0FDBC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非连续采样 至少3个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12AD697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半年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B0DAFC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EAB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continue"/>
            <w:shd w:val="clear" w:color="auto" w:fill="auto"/>
            <w:vAlign w:val="center"/>
          </w:tcPr>
          <w:p w14:paraId="5738BBB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52" w:type="dxa"/>
            <w:vMerge w:val="restart"/>
            <w:shd w:val="clear" w:color="auto" w:fill="auto"/>
            <w:vAlign w:val="center"/>
          </w:tcPr>
          <w:p w14:paraId="78E792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DA004</w:t>
            </w:r>
          </w:p>
        </w:tc>
        <w:tc>
          <w:tcPr>
            <w:tcW w:w="2242" w:type="dxa"/>
            <w:vMerge w:val="restart"/>
            <w:shd w:val="clear" w:color="auto" w:fill="auto"/>
            <w:vAlign w:val="center"/>
          </w:tcPr>
          <w:p w14:paraId="0FDDC07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废油十危废贮存+HW09处置车间废气塔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D07558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氨（氨气）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硫化氢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硫酸雾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2D6B8F5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非连续采样 至少3个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075B146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年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55FE42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6D71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continue"/>
            <w:shd w:val="clear" w:color="auto" w:fill="auto"/>
            <w:vAlign w:val="center"/>
          </w:tcPr>
          <w:p w14:paraId="1A1B815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52" w:type="dxa"/>
            <w:vMerge w:val="continue"/>
            <w:tcBorders/>
            <w:shd w:val="clear" w:color="auto" w:fill="auto"/>
            <w:vAlign w:val="center"/>
          </w:tcPr>
          <w:p w14:paraId="4CBA310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42" w:type="dxa"/>
            <w:vMerge w:val="continue"/>
            <w:tcBorders/>
            <w:shd w:val="clear" w:color="auto" w:fill="auto"/>
            <w:vAlign w:val="center"/>
          </w:tcPr>
          <w:p w14:paraId="6A91C2B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16" w:type="dxa"/>
            <w:shd w:val="clear" w:color="auto" w:fill="auto"/>
            <w:vAlign w:val="center"/>
          </w:tcPr>
          <w:p w14:paraId="456EC31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非甲烷总烃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11F2B90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非连续采样 至少3个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5E42E61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半年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02260F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5CB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restart"/>
            <w:shd w:val="clear" w:color="auto" w:fill="auto"/>
            <w:vAlign w:val="center"/>
          </w:tcPr>
          <w:p w14:paraId="3CF5EE6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无组织废气</w:t>
            </w:r>
          </w:p>
        </w:tc>
        <w:tc>
          <w:tcPr>
            <w:tcW w:w="3194" w:type="dxa"/>
            <w:gridSpan w:val="2"/>
            <w:vMerge w:val="restart"/>
            <w:shd w:val="clear" w:color="auto" w:fill="auto"/>
            <w:vAlign w:val="center"/>
          </w:tcPr>
          <w:p w14:paraId="6227900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厂界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0A6037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氨</w:t>
            </w:r>
            <w:r>
              <w:rPr>
                <w:rFonts w:hint="eastAsia" w:ascii="宋体" w:hAnsi="宋体" w:cs="宋体"/>
                <w:sz w:val="21"/>
                <w:szCs w:val="21"/>
                <w:u w:color="auto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臭气浓度</w:t>
            </w:r>
            <w:r>
              <w:rPr>
                <w:rFonts w:hint="eastAsia" w:ascii="宋体" w:hAnsi="宋体" w:cs="宋体"/>
                <w:sz w:val="21"/>
                <w:szCs w:val="21"/>
                <w:u w:color="auto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颗粒物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6A1C816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非连续采样 至少4个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60E3991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季度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1FDA52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E7C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continue"/>
            <w:tcBorders/>
            <w:shd w:val="clear" w:color="auto" w:fill="auto"/>
            <w:vAlign w:val="center"/>
          </w:tcPr>
          <w:p w14:paraId="31D4E02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94" w:type="dxa"/>
            <w:gridSpan w:val="2"/>
            <w:vMerge w:val="continue"/>
            <w:tcBorders/>
            <w:shd w:val="clear" w:color="auto" w:fill="auto"/>
            <w:vAlign w:val="center"/>
          </w:tcPr>
          <w:p w14:paraId="714C481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16" w:type="dxa"/>
            <w:shd w:val="clear" w:color="auto" w:fill="auto"/>
            <w:vAlign w:val="center"/>
          </w:tcPr>
          <w:p w14:paraId="2D9E3A1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非甲烷总烃</w:t>
            </w:r>
            <w:r>
              <w:rPr>
                <w:rFonts w:hint="eastAsia" w:ascii="宋体" w:hAnsi="宋体" w:cs="宋体"/>
                <w:sz w:val="21"/>
                <w:szCs w:val="21"/>
                <w:u w:color="auto"/>
                <w:lang w:val="en-US" w:eastAsia="zh-CN"/>
              </w:rPr>
              <w:t>、硫</w:t>
            </w: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化氢</w:t>
            </w:r>
            <w:r>
              <w:rPr>
                <w:rFonts w:hint="eastAsia" w:ascii="宋体" w:hAnsi="宋体" w:cs="宋体"/>
                <w:sz w:val="21"/>
                <w:szCs w:val="21"/>
                <w:u w:color="auto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硫酸雾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3B39294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非连续采样 至少4个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2FE6B33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半年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9F8E93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31A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continue"/>
            <w:tcBorders/>
            <w:shd w:val="clear" w:color="auto" w:fill="auto"/>
            <w:vAlign w:val="center"/>
          </w:tcPr>
          <w:p w14:paraId="0F01E9A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94" w:type="dxa"/>
            <w:gridSpan w:val="2"/>
            <w:shd w:val="clear" w:color="auto" w:fill="auto"/>
            <w:vAlign w:val="center"/>
          </w:tcPr>
          <w:p w14:paraId="7D1666E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废油贮存间外监控点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00F0F3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非甲烷总烃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62DD5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非连续采样 至少4个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0E5A1EA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半年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978CD2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EC9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continue"/>
            <w:tcBorders/>
            <w:shd w:val="clear" w:color="auto" w:fill="auto"/>
            <w:vAlign w:val="center"/>
          </w:tcPr>
          <w:p w14:paraId="5BACEFC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94" w:type="dxa"/>
            <w:gridSpan w:val="2"/>
            <w:shd w:val="clear" w:color="auto" w:fill="auto"/>
            <w:vAlign w:val="center"/>
          </w:tcPr>
          <w:p w14:paraId="076A422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HW09处置车间外监测点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AA57A8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非甲烷总烃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75028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非连续采样 至少4个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0D0BCFA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半年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585048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D8E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continue"/>
            <w:tcBorders/>
            <w:shd w:val="clear" w:color="auto" w:fill="auto"/>
            <w:vAlign w:val="center"/>
          </w:tcPr>
          <w:p w14:paraId="79E9B8A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94" w:type="dxa"/>
            <w:gridSpan w:val="2"/>
            <w:shd w:val="clear" w:color="auto" w:fill="auto"/>
            <w:vAlign w:val="center"/>
          </w:tcPr>
          <w:p w14:paraId="525A416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危废贮存间外监测点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EE2C53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非甲烷总烃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46A81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非连续采样 至少4个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5A93D13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年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028945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D83D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restart"/>
            <w:shd w:val="clear" w:color="auto" w:fill="auto"/>
            <w:vAlign w:val="center"/>
          </w:tcPr>
          <w:p w14:paraId="1E6C8C1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废水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269FE5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DW001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4D2FFBA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污水站总排口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86173A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PH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氨氮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化学需氧量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石油类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五日生化需氧量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悬浮物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总磷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流量</w:t>
            </w:r>
          </w:p>
        </w:tc>
        <w:tc>
          <w:tcPr>
            <w:tcW w:w="2595" w:type="dxa"/>
            <w:shd w:val="clear"/>
            <w:vAlign w:val="center"/>
          </w:tcPr>
          <w:p w14:paraId="5E7EB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瞬时采样 至少3个瞬时样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69B57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1"/>
                <w:szCs w:val="21"/>
                <w:u w:color="auto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u w:color="auto"/>
                <w:lang w:val="en-US" w:eastAsia="zh-CN"/>
              </w:rPr>
              <w:t>月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D6F1B4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C15A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vMerge w:val="continue"/>
            <w:tcBorders/>
            <w:shd w:val="clear" w:color="auto" w:fill="auto"/>
            <w:vAlign w:val="center"/>
          </w:tcPr>
          <w:p w14:paraId="54C0017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3B3E24D7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DW002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46334F0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雨水排放口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F1F9F6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氨氮（NH3-N）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、悬浮物</w:t>
            </w:r>
          </w:p>
        </w:tc>
        <w:tc>
          <w:tcPr>
            <w:tcW w:w="2595" w:type="dxa"/>
            <w:shd w:val="clear"/>
            <w:vAlign w:val="center"/>
          </w:tcPr>
          <w:p w14:paraId="07FBC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  <w:t>瞬时采样 至少3个瞬时样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02910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  <w:u w:color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年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8B3EB3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90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shd w:val="clear" w:color="auto" w:fill="auto"/>
            <w:vAlign w:val="center"/>
          </w:tcPr>
          <w:p w14:paraId="09FC9816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土壤</w:t>
            </w:r>
          </w:p>
        </w:tc>
        <w:tc>
          <w:tcPr>
            <w:tcW w:w="3194" w:type="dxa"/>
            <w:gridSpan w:val="2"/>
            <w:shd w:val="clear" w:color="auto" w:fill="auto"/>
            <w:vAlign w:val="center"/>
          </w:tcPr>
          <w:p w14:paraId="2AE4222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ES1、ES2、ES3、ES4、ES5、ES6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F1D9EF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石油烃（C10-C40）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3A2F268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表层样，1个样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6E75F01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3年</w:t>
            </w:r>
            <w:bookmarkStart w:id="0" w:name="_GoBack"/>
            <w:bookmarkEnd w:id="0"/>
          </w:p>
        </w:tc>
        <w:tc>
          <w:tcPr>
            <w:tcW w:w="1600" w:type="dxa"/>
            <w:shd w:val="clear" w:color="auto" w:fill="auto"/>
            <w:vAlign w:val="center"/>
          </w:tcPr>
          <w:p w14:paraId="239A13D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1D48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shd w:val="clear" w:color="auto" w:fill="auto"/>
            <w:vAlign w:val="center"/>
          </w:tcPr>
          <w:p w14:paraId="0CC1F62F">
            <w:pPr>
              <w:jc w:val="center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地下水</w:t>
            </w:r>
          </w:p>
        </w:tc>
        <w:tc>
          <w:tcPr>
            <w:tcW w:w="3194" w:type="dxa"/>
            <w:gridSpan w:val="2"/>
            <w:shd w:val="clear" w:color="auto" w:fill="auto"/>
            <w:vAlign w:val="center"/>
          </w:tcPr>
          <w:p w14:paraId="33ADC20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1#、2#、3#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CAFD10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PH值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氨氮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汞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化学需氧量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六价铬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锰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铅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砷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石油类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铜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总镍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总锌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总硬度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镉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195657F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毕托管采样，1个样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695B82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年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5F70EA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E90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0" w:type="dxa"/>
            <w:shd w:val="clear" w:color="auto" w:fill="auto"/>
            <w:vAlign w:val="center"/>
          </w:tcPr>
          <w:p w14:paraId="1011E131">
            <w:pPr>
              <w:jc w:val="center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3194" w:type="dxa"/>
            <w:gridSpan w:val="2"/>
            <w:shd w:val="clear" w:color="auto" w:fill="auto"/>
            <w:vAlign w:val="center"/>
          </w:tcPr>
          <w:p w14:paraId="649355F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厂界噪声EN1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EN2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EN3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EN4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0F1F4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工业企业厂界环境噪声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034CF99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昼间和夜间各监测一次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DDDA80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1次/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季度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3C87AF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6531F847">
      <w:pPr>
        <w:jc w:val="center"/>
      </w:pP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decorative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D2E42">
    <w:pPr>
      <w:pStyle w:val="8"/>
      <w:pBdr>
        <w:bottom w:val="none" w:color="auto" w:sz="0" w:space="0"/>
      </w:pBdr>
      <w:wordWrap w:val="0"/>
      <w:ind w:right="-1"/>
      <w:jc w:val="both"/>
      <w:rPr>
        <w:rFonts w:ascii="Times New Roman" w:hAnsi="Times New Roman"/>
      </w:rPr>
    </w:pPr>
    <w:r>
      <w:rPr>
        <w:rFonts w:ascii="Times New Roman"/>
      </w:rPr>
      <w:t>文件编号：</w:t>
    </w:r>
    <w:r>
      <w:rPr>
        <w:rFonts w:hint="eastAsia" w:ascii="Times New Roman" w:hAnsi="Times New Roman"/>
      </w:rPr>
      <w:t>YHJC-QD-ZL-013(H)</w:t>
    </w:r>
    <w:r>
      <w:rPr>
        <w:rFonts w:ascii="Times New Roman" w:hAnsi="Times New Roman"/>
      </w:rPr>
      <w:t xml:space="preserve">  </w:t>
    </w:r>
    <w:r>
      <w:rPr>
        <w:rFonts w:hint="eastAsia" w:ascii="Times New Roman"/>
      </w:rPr>
      <w:t>修订</w:t>
    </w:r>
    <w:r>
      <w:rPr>
        <w:rFonts w:ascii="Times New Roman"/>
      </w:rPr>
      <w:t>：</w:t>
    </w:r>
    <w:r>
      <w:rPr>
        <w:rFonts w:hint="eastAsia" w:ascii="Times New Roman" w:hAnsi="Times New Roman"/>
      </w:rPr>
      <w:t>4.3</w:t>
    </w:r>
    <w:r>
      <w:rPr>
        <w:rFonts w:ascii="Times New Roman" w:hAnsi="Times New Roman"/>
      </w:rPr>
      <w:t xml:space="preserve">     </w:t>
    </w:r>
    <w:r>
      <w:rPr>
        <w:rFonts w:hint="eastAsia" w:ascii="Times New Roman" w:hAnsi="Times New Roman"/>
      </w:rPr>
      <w:t xml:space="preserve"> </w:t>
    </w:r>
    <w:r>
      <w:rPr>
        <w:rFonts w:ascii="Times New Roman" w:hAnsi="Times New Roman"/>
      </w:rPr>
      <w:t xml:space="preserve">                      </w:t>
    </w:r>
    <w:r>
      <w:rPr>
        <w:rFonts w:hint="eastAsia" w:ascii="Times New Roman" w:hAnsi="Times New Roman"/>
      </w:rPr>
      <w:t xml:space="preserve">                </w:t>
    </w:r>
    <w:r>
      <w:rPr>
        <w:rFonts w:ascii="Times New Roman" w:hAnsi="Times New Roman"/>
      </w:rPr>
      <w:t xml:space="preserve">    </w:t>
    </w:r>
    <w:r>
      <w:rPr>
        <w:rFonts w:hint="eastAsia" w:ascii="Times New Roman" w:hAnsi="Times New Roman"/>
      </w:rPr>
      <w:t xml:space="preserve"> </w:t>
    </w:r>
    <w:r>
      <w:rPr>
        <w:rFonts w:ascii="Times New Roman" w:hAnsi="Times New Roman"/>
      </w:rPr>
      <w:t xml:space="preserve">   </w:t>
    </w:r>
    <w:r>
      <w:rPr>
        <w:rFonts w:ascii="Times New Roman"/>
      </w:rPr>
      <w:t>第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/>
      </w:rPr>
      <w:fldChar w:fldCharType="separate"/>
    </w:r>
    <w:r>
      <w:t>18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</w:t>
    </w:r>
    <w:r>
      <w:rPr>
        <w:rFonts w:ascii="Times New Roman"/>
      </w:rPr>
      <w:t>页</w:t>
    </w:r>
    <w:r>
      <w:rPr>
        <w:rFonts w:ascii="Times New Roman" w:hAnsi="Times New Roman"/>
      </w:rPr>
      <w:t xml:space="preserve">  </w:t>
    </w:r>
    <w:r>
      <w:rPr>
        <w:rFonts w:ascii="Times New Roman"/>
      </w:rPr>
      <w:t>共</w:t>
    </w:r>
    <w:r>
      <w:rPr>
        <w:rFonts w:hint="eastAsia" w:ascii="Times New Roman" w:hAnsi="Times New Roman"/>
      </w:rPr>
      <w:t>6</w:t>
    </w:r>
    <w:r>
      <w:rPr>
        <w:rFonts w:ascii="Times New Roman" w:hAnsi="Times New Roman"/>
      </w:rPr>
      <w:t xml:space="preserve"> </w:t>
    </w:r>
    <w:r>
      <w:rPr>
        <w:rFonts w:ascii="Times New Roman"/>
      </w:rPr>
      <w:t>页</w:t>
    </w:r>
  </w:p>
  <w:p w14:paraId="6529FBBA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1B78D">
    <w:pPr>
      <w:pBdr>
        <w:bottom w:val="single" w:color="auto" w:sz="4" w:space="0"/>
      </w:pBdr>
      <w:ind w:firstLine="105" w:firstLineChars="50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60085" cy="1982470"/>
          <wp:effectExtent l="0" t="1746250" r="0" b="1757680"/>
          <wp:wrapNone/>
          <wp:docPr id="8" name="WordPictureWatermark84075" descr="1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84075" descr="1111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 rot="18900000">
                    <a:off x="0" y="0"/>
                    <a:ext cx="5760085" cy="1982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1510665" cy="396240"/>
          <wp:effectExtent l="0" t="0" r="13335" b="3810"/>
          <wp:docPr id="1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10665" cy="396240"/>
                  </a:xfrm>
                  <a:prstGeom prst="rect">
                    <a:avLst/>
                  </a:prstGeom>
                  <a:noFill/>
                  <a:ln w="9525" cmpd="sng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</w:t>
    </w:r>
    <w:r>
      <w:rPr>
        <w:rFonts w:hint="eastAsia" w:ascii="黑体" w:hAnsi="黑体" w:eastAsia="黑体" w:cs="黑体"/>
        <w:sz w:val="28"/>
        <w:szCs w:val="28"/>
      </w:rPr>
      <w:t xml:space="preserve">      </w:t>
    </w:r>
    <w:r>
      <w:rPr>
        <w:rFonts w:hint="eastAsia" w:ascii="楷体" w:hAnsi="楷体" w:eastAsia="楷体" w:cs="楷体"/>
        <w:bCs/>
        <w:sz w:val="24"/>
        <w:szCs w:val="28"/>
      </w:rPr>
      <w:t>诚信/精业/协同/共赢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dit="forms"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hMzlhYWI3ZDRmOTJkMGMwMjg4Mjk2MjJlYTk1OTEifQ=="/>
  </w:docVars>
  <w:rsids>
    <w:rsidRoot w:val="00BD09CD"/>
    <w:rsid w:val="00043064"/>
    <w:rsid w:val="00066AAB"/>
    <w:rsid w:val="00102EC2"/>
    <w:rsid w:val="00151891"/>
    <w:rsid w:val="001618D3"/>
    <w:rsid w:val="00222FBD"/>
    <w:rsid w:val="002C63F1"/>
    <w:rsid w:val="00347F2C"/>
    <w:rsid w:val="003A59C2"/>
    <w:rsid w:val="00401741"/>
    <w:rsid w:val="0048756C"/>
    <w:rsid w:val="00503645"/>
    <w:rsid w:val="0050498E"/>
    <w:rsid w:val="005118DB"/>
    <w:rsid w:val="00514896"/>
    <w:rsid w:val="00560C8B"/>
    <w:rsid w:val="005A03FE"/>
    <w:rsid w:val="005C39E5"/>
    <w:rsid w:val="005D4760"/>
    <w:rsid w:val="006023DE"/>
    <w:rsid w:val="00603534"/>
    <w:rsid w:val="00685813"/>
    <w:rsid w:val="00767B43"/>
    <w:rsid w:val="0078126C"/>
    <w:rsid w:val="007C5875"/>
    <w:rsid w:val="007D725F"/>
    <w:rsid w:val="008E68B0"/>
    <w:rsid w:val="008F1C7F"/>
    <w:rsid w:val="00906806"/>
    <w:rsid w:val="00936C1B"/>
    <w:rsid w:val="009530B8"/>
    <w:rsid w:val="009568A9"/>
    <w:rsid w:val="009E7170"/>
    <w:rsid w:val="009E7ADE"/>
    <w:rsid w:val="00AE0258"/>
    <w:rsid w:val="00AF069E"/>
    <w:rsid w:val="00B553F5"/>
    <w:rsid w:val="00BD09CD"/>
    <w:rsid w:val="00C010F1"/>
    <w:rsid w:val="00C02431"/>
    <w:rsid w:val="00C32574"/>
    <w:rsid w:val="00C32907"/>
    <w:rsid w:val="00C42D2F"/>
    <w:rsid w:val="00C6749E"/>
    <w:rsid w:val="00C77DDA"/>
    <w:rsid w:val="00D62D32"/>
    <w:rsid w:val="00D732E4"/>
    <w:rsid w:val="00E233E6"/>
    <w:rsid w:val="00E80B8B"/>
    <w:rsid w:val="00EA7E17"/>
    <w:rsid w:val="00EF7AE5"/>
    <w:rsid w:val="00F17AA8"/>
    <w:rsid w:val="00F67FB5"/>
    <w:rsid w:val="00FC4E73"/>
    <w:rsid w:val="00FE7B5E"/>
    <w:rsid w:val="02F92958"/>
    <w:rsid w:val="03FA51D8"/>
    <w:rsid w:val="061D3A04"/>
    <w:rsid w:val="07C65D6A"/>
    <w:rsid w:val="0A11102E"/>
    <w:rsid w:val="0D090F1E"/>
    <w:rsid w:val="0DA57BBF"/>
    <w:rsid w:val="116D70C9"/>
    <w:rsid w:val="13B41298"/>
    <w:rsid w:val="179843D8"/>
    <w:rsid w:val="17A34D63"/>
    <w:rsid w:val="187942EE"/>
    <w:rsid w:val="1CBA299C"/>
    <w:rsid w:val="20D20B3A"/>
    <w:rsid w:val="252F119B"/>
    <w:rsid w:val="26994FA3"/>
    <w:rsid w:val="2856553E"/>
    <w:rsid w:val="2B136A44"/>
    <w:rsid w:val="2B7966C4"/>
    <w:rsid w:val="305D3DC1"/>
    <w:rsid w:val="308E2BFD"/>
    <w:rsid w:val="32962E49"/>
    <w:rsid w:val="34007C2A"/>
    <w:rsid w:val="34FC0EB0"/>
    <w:rsid w:val="39F56148"/>
    <w:rsid w:val="39F967BC"/>
    <w:rsid w:val="3A6C39BB"/>
    <w:rsid w:val="3AF56248"/>
    <w:rsid w:val="3FB47C2C"/>
    <w:rsid w:val="408C762C"/>
    <w:rsid w:val="424067E7"/>
    <w:rsid w:val="43720069"/>
    <w:rsid w:val="441F37C9"/>
    <w:rsid w:val="47E550BA"/>
    <w:rsid w:val="493C7F79"/>
    <w:rsid w:val="4AB76544"/>
    <w:rsid w:val="52343B51"/>
    <w:rsid w:val="52CE095E"/>
    <w:rsid w:val="52D10099"/>
    <w:rsid w:val="53332B95"/>
    <w:rsid w:val="54D07A09"/>
    <w:rsid w:val="54E93F64"/>
    <w:rsid w:val="581D18C2"/>
    <w:rsid w:val="583447C7"/>
    <w:rsid w:val="5A794948"/>
    <w:rsid w:val="5B38649C"/>
    <w:rsid w:val="5B603C04"/>
    <w:rsid w:val="60C247EC"/>
    <w:rsid w:val="666A52FA"/>
    <w:rsid w:val="680D4B0C"/>
    <w:rsid w:val="6A896069"/>
    <w:rsid w:val="6F1C0DF8"/>
    <w:rsid w:val="6F947605"/>
    <w:rsid w:val="70E1083F"/>
    <w:rsid w:val="732336EF"/>
    <w:rsid w:val="73BF45A7"/>
    <w:rsid w:val="7915766A"/>
    <w:rsid w:val="7A0662DE"/>
    <w:rsid w:val="7E5F00EE"/>
    <w:rsid w:val="7FB5471F"/>
    <w:rsid w:val="7FB54C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6"/>
    <w:qFormat/>
    <w:uiPriority w:val="9"/>
    <w:pPr>
      <w:keepNext/>
      <w:keepLines/>
      <w:spacing w:line="360" w:lineRule="auto"/>
      <w:outlineLvl w:val="0"/>
    </w:pPr>
    <w:rPr>
      <w:rFonts w:eastAsia="黑体"/>
      <w:b/>
      <w:bCs/>
      <w:kern w:val="44"/>
      <w:sz w:val="28"/>
      <w:szCs w:val="44"/>
    </w:rPr>
  </w:style>
  <w:style w:type="paragraph" w:styleId="4">
    <w:name w:val="heading 2"/>
    <w:basedOn w:val="1"/>
    <w:next w:val="1"/>
    <w:link w:val="17"/>
    <w:unhideWhenUsed/>
    <w:qFormat/>
    <w:uiPriority w:val="0"/>
    <w:pPr>
      <w:keepNext/>
      <w:keepLines/>
      <w:spacing w:line="360" w:lineRule="auto"/>
      <w:outlineLvl w:val="1"/>
    </w:pPr>
    <w:rPr>
      <w:rFonts w:eastAsiaTheme="majorEastAsia" w:cstheme="majorBidi"/>
      <w:b/>
      <w:bCs/>
      <w:sz w:val="24"/>
      <w:szCs w:val="32"/>
    </w:rPr>
  </w:style>
  <w:style w:type="paragraph" w:styleId="2">
    <w:name w:val="heading 4"/>
    <w:basedOn w:val="1"/>
    <w:next w:val="1"/>
    <w:link w:val="25"/>
    <w:semiHidden/>
    <w:unhideWhenUsed/>
    <w:qFormat/>
    <w:uiPriority w:val="0"/>
    <w:pPr>
      <w:keepNext/>
      <w:keepLines/>
      <w:spacing w:before="20" w:beforeLines="20" w:after="20" w:afterLines="20" w:line="377" w:lineRule="auto"/>
      <w:ind w:left="864" w:hanging="864"/>
      <w:outlineLvl w:val="3"/>
    </w:pPr>
    <w:rPr>
      <w:rFonts w:eastAsia="仿宋" w:asciiTheme="majorHAnsi" w:hAnsiTheme="majorHAnsi" w:cstheme="majorBidi"/>
      <w:b/>
      <w:bCs/>
      <w:sz w:val="30"/>
      <w:szCs w:val="3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annotation subject"/>
    <w:basedOn w:val="5"/>
    <w:next w:val="5"/>
    <w:link w:val="24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page number"/>
    <w:basedOn w:val="13"/>
    <w:qFormat/>
    <w:uiPriority w:val="99"/>
    <w:rPr>
      <w:rFonts w:cs="Times New Roman"/>
    </w:rPr>
  </w:style>
  <w:style w:type="character" w:styleId="15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6">
    <w:name w:val="标题 1 Char"/>
    <w:basedOn w:val="13"/>
    <w:link w:val="3"/>
    <w:qFormat/>
    <w:uiPriority w:val="9"/>
    <w:rPr>
      <w:rFonts w:ascii="Times New Roman" w:hAnsi="Times New Roman" w:eastAsia="黑体"/>
      <w:b/>
      <w:bCs/>
      <w:kern w:val="44"/>
      <w:sz w:val="28"/>
      <w:szCs w:val="44"/>
    </w:rPr>
  </w:style>
  <w:style w:type="character" w:customStyle="1" w:styleId="17">
    <w:name w:val="标题 2 Char"/>
    <w:basedOn w:val="13"/>
    <w:link w:val="4"/>
    <w:qFormat/>
    <w:uiPriority w:val="9"/>
    <w:rPr>
      <w:rFonts w:ascii="Times New Roman" w:hAnsi="Times New Roman" w:eastAsiaTheme="majorEastAsia" w:cstheme="majorBidi"/>
      <w:b/>
      <w:bCs/>
      <w:sz w:val="24"/>
      <w:szCs w:val="32"/>
    </w:rPr>
  </w:style>
  <w:style w:type="character" w:customStyle="1" w:styleId="18">
    <w:name w:val="页脚 Char"/>
    <w:qFormat/>
    <w:uiPriority w:val="99"/>
    <w:rPr>
      <w:sz w:val="18"/>
      <w:szCs w:val="18"/>
    </w:rPr>
  </w:style>
  <w:style w:type="character" w:customStyle="1" w:styleId="19">
    <w:name w:val="页眉 Char"/>
    <w:qFormat/>
    <w:uiPriority w:val="99"/>
    <w:rPr>
      <w:sz w:val="18"/>
      <w:szCs w:val="18"/>
    </w:rPr>
  </w:style>
  <w:style w:type="character" w:customStyle="1" w:styleId="20">
    <w:name w:val="页眉 Char1"/>
    <w:basedOn w:val="13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页脚 Char1"/>
    <w:basedOn w:val="13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批注框文本 Char"/>
    <w:basedOn w:val="13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文字 Char"/>
    <w:basedOn w:val="13"/>
    <w:link w:val="5"/>
    <w:semiHidden/>
    <w:qFormat/>
    <w:uiPriority w:val="99"/>
    <w:rPr>
      <w:kern w:val="2"/>
      <w:sz w:val="21"/>
      <w:szCs w:val="22"/>
    </w:rPr>
  </w:style>
  <w:style w:type="character" w:customStyle="1" w:styleId="24">
    <w:name w:val="批注主题 Char"/>
    <w:basedOn w:val="23"/>
    <w:link w:val="10"/>
    <w:semiHidden/>
    <w:qFormat/>
    <w:uiPriority w:val="99"/>
    <w:rPr>
      <w:b/>
      <w:bCs/>
      <w:kern w:val="2"/>
      <w:sz w:val="21"/>
      <w:szCs w:val="22"/>
    </w:rPr>
  </w:style>
  <w:style w:type="character" w:customStyle="1" w:styleId="25">
    <w:name w:val="标题 4 Char"/>
    <w:basedOn w:val="13"/>
    <w:link w:val="2"/>
    <w:semiHidden/>
    <w:qFormat/>
    <w:uiPriority w:val="0"/>
    <w:rPr>
      <w:rFonts w:eastAsia="仿宋" w:asciiTheme="majorHAnsi" w:hAnsiTheme="majorHAnsi" w:cstheme="majorBidi"/>
      <w:b/>
      <w:bCs/>
      <w:kern w:val="2"/>
      <w:sz w:val="30"/>
      <w:szCs w:val="30"/>
    </w:rPr>
  </w:style>
  <w:style w:type="paragraph" w:customStyle="1" w:styleId="26">
    <w:name w:val="表内格式"/>
    <w:basedOn w:val="1"/>
    <w:qFormat/>
    <w:uiPriority w:val="0"/>
    <w:pPr>
      <w:jc w:val="center"/>
    </w:pPr>
    <w:rPr>
      <w:rFonts w:ascii="Times New Roman" w:hAnsi="Times New Roman" w:eastAsia="宋体" w:cs="Times New Roman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C25A7-6B2B-4A8E-982C-1AF809EEF3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424</Words>
  <Characters>458</Characters>
  <Lines>51</Lines>
  <Paragraphs>14</Paragraphs>
  <TotalTime>17</TotalTime>
  <ScaleCrop>false</ScaleCrop>
  <LinksUpToDate>false</LinksUpToDate>
  <CharactersWithSpaces>458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2018-08-14T13:02:00Z</dcterms:created>
  <dc:creator>微软用户</dc:creator>
  <cp:lastModifiedBy>普赛克</cp:lastModifiedBy>
  <cp:lastPrinted>2019-05-15T07:48:00Z</cp:lastPrinted>
  <dcterms:modified xsi:type="dcterms:W3CDTF">2025-01-10T06:34:58Z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B8BC130BDCDE4D929A128BA2C26B22CD_13</vt:lpwstr>
  </property>
  <property fmtid="{D5CDD505-2E9C-101B-9397-08002B2CF9AE}" pid="4" name="KSOTemplateDocerSaveRecord">
    <vt:lpwstr>eyJoZGlkIjoiYWJmOTcyMDNjNGNmYWRhMTk2NGM0NWY4MzIxNGQxN2YiLCJ1c2VySWQiOiIyOTkyMTc4NzMifQ==</vt:lpwstr>
  </property>
</Properties>
</file>