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color w:val="173F5F"/>
          <w:sz w:val="48"/>
        </w:rPr>
        <w:t>智行车道调度系统</w:t>
      </w:r>
    </w:p>
    <w:p>
      <w:pPr>
        <w:spacing w:before="200"/>
        <w:jc w:val="center"/>
      </w:pPr>
      <w:r>
        <w:rPr>
          <w:rFonts w:ascii="Microsoft YaHei" w:hAnsi="Microsoft YaHei" w:eastAsia="Microsoft YaHei"/>
          <w:color w:val="4B5563"/>
          <w:sz w:val="24"/>
        </w:rPr>
        <w:t>项目说明文档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4872"/>
        <w:gridCol w:w="4872"/>
      </w:tblGrid>
      <w:tr>
        <w:tc>
          <w:tcPr>
            <w:tcW w:type="dxa" w:w="2268"/>
            <w:vAlign w:val="center"/>
            <w:shd w:fill="173F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项目名称</w:t>
            </w:r>
          </w:p>
        </w:tc>
        <w:tc>
          <w:tcPr>
            <w:tcW w:type="dxa" w:w="555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智行车道调度系统</w:t>
            </w:r>
          </w:p>
        </w:tc>
      </w:tr>
      <w:tr>
        <w:tc>
          <w:tcPr>
            <w:tcW w:type="dxa" w:w="2268"/>
            <w:vAlign w:val="center"/>
            <w:shd w:fill="173F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文档类型</w:t>
            </w:r>
          </w:p>
        </w:tc>
        <w:tc>
          <w:tcPr>
            <w:tcW w:type="dxa" w:w="555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项目说明文档</w:t>
            </w:r>
          </w:p>
        </w:tc>
      </w:tr>
      <w:tr>
        <w:tc>
          <w:tcPr>
            <w:tcW w:type="dxa" w:w="2268"/>
            <w:vAlign w:val="center"/>
            <w:shd w:fill="173F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系统名称</w:t>
            </w:r>
          </w:p>
        </w:tc>
        <w:tc>
          <w:tcPr>
            <w:tcW w:type="dxa" w:w="555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智行车道调度系统</w:t>
            </w:r>
          </w:p>
        </w:tc>
      </w:tr>
      <w:tr>
        <w:tc>
          <w:tcPr>
            <w:tcW w:type="dxa" w:w="2268"/>
            <w:vAlign w:val="center"/>
            <w:shd w:fill="173F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文件夹名</w:t>
            </w:r>
          </w:p>
        </w:tc>
        <w:tc>
          <w:tcPr>
            <w:tcW w:type="dxa" w:w="555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smart-lane-dispatch-system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1. 文档目的</w:t>
      </w:r>
    </w:p>
    <w:p>
      <w:pPr>
        <w:spacing w:after="120"/>
      </w:pPr>
      <w:r>
        <w:rPr>
          <w:rFonts w:ascii="Microsoft YaHei" w:hAnsi="Microsoft YaHei" w:eastAsia="Microsoft YaHei"/>
        </w:rPr>
        <w:t>本文档用于将原始需求文档中的功能描述整理为可用于产品设计、界面设计与后续研发拆解的项目说明。文档范围严格以原需求为基础，仅增加“登录与权限”这一后台系统必需能力，不引入原文档未明确提出的扩展模块。</w:t>
      </w:r>
    </w:p>
    <w:p>
      <w:pPr>
        <w:pStyle w:val="Heading1"/>
      </w:pPr>
      <w:r>
        <w:t>2. 项目概述</w:t>
      </w:r>
    </w:p>
    <w:p>
      <w:pPr>
        <w:spacing w:after="120"/>
      </w:pPr>
      <w:r>
        <w:rPr>
          <w:rFonts w:ascii="Microsoft YaHei" w:hAnsi="Microsoft YaHei" w:eastAsia="Microsoft YaHei"/>
        </w:rPr>
        <w:t>智行车道调度系统是一个带登录能力的 Web 管理系统，面向停车场或蓄车池场景，用于实现车道状态监测、车辆入场信息查看、黑名单管理与预警、信号灯联动控制，以及特殊情况下的手动修正与调度。</w:t>
      </w:r>
    </w:p>
    <w:p>
      <w:pPr>
        <w:spacing w:before="80" w:after="80"/>
      </w:pPr>
      <w:r>
        <w:rPr>
          <w:b/>
          <w:color w:val="173F5F"/>
        </w:rPr>
        <w:t>系统目标：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1"/>
        </w:rPr>
        <w:t>• 实时掌握各车道占用状态，判断车道是否满停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1"/>
        </w:rPr>
        <w:t>• 把车道状态及时同步到现场 LED 信息显示设备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1"/>
        </w:rPr>
        <w:t>• 记录并查询车辆入场信息，支持日常检索与历史追溯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1"/>
        </w:rPr>
        <w:t>• 独立维护黑名单车辆，入场时触发预警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1"/>
        </w:rPr>
        <w:t>• 基于车道状态自动控制进出口信号灯，并保留人工干预能力</w:t>
      </w:r>
    </w:p>
    <w:p>
      <w:pPr>
        <w:pStyle w:val="Heading1"/>
      </w:pPr>
      <w:r>
        <w:t>3. 建设范围与边界</w:t>
      </w:r>
    </w:p>
    <w:p>
      <w:pPr>
        <w:spacing w:after="120"/>
      </w:pPr>
      <w:r>
        <w:rPr>
          <w:rFonts w:ascii="Microsoft YaHei" w:hAnsi="Microsoft YaHei" w:eastAsia="Microsoft YaHei"/>
        </w:rPr>
        <w:t>本系统建设范围以“车道监测与调度管理”为核心，不包含收费结算、停车订单、会员管理、财务报表、设备运维工单、复杂统计分析大屏、日志审计中心、系统配置中心等原始需求未明确提出的模块。</w:t>
      </w:r>
    </w:p>
    <w:p>
      <w:pPr>
        <w:spacing w:before="80" w:after="80"/>
      </w:pPr>
      <w:r>
        <w:rPr>
          <w:b/>
          <w:color w:val="173F5F"/>
        </w:rPr>
        <w:t>本次明确纳入范围：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1"/>
        </w:rPr>
        <w:t>• 登录页与基础权限控制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1"/>
        </w:rPr>
        <w:t>• 车道状态查看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1"/>
        </w:rPr>
        <w:t>• LED 联动信息展示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1"/>
        </w:rPr>
        <w:t>• 车辆入场信息查询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1"/>
        </w:rPr>
        <w:t>• 黑名单管理与预警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1"/>
        </w:rPr>
        <w:t>• 信号灯联动控制</w:t>
      </w:r>
    </w:p>
    <w:p>
      <w:pPr>
        <w:spacing w:after="40"/>
        <w:ind w:left="283"/>
      </w:pPr>
      <w:r>
        <w:rPr>
          <w:rFonts w:ascii="Microsoft YaHei" w:hAnsi="Microsoft YaHei" w:eastAsia="Microsoft YaHei"/>
          <w:sz w:val="21"/>
        </w:rPr>
        <w:t>• 手动修正与优先通行调度</w:t>
      </w:r>
    </w:p>
    <w:p>
      <w:pPr>
        <w:pStyle w:val="Heading1"/>
      </w:pPr>
      <w:r>
        <w:t>4. 用户角色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248"/>
        <w:gridCol w:w="3248"/>
        <w:gridCol w:w="3248"/>
      </w:tblGrid>
      <w:tr>
        <w:tc>
          <w:tcPr>
            <w:tcW w:type="dxa" w:w="1814"/>
            <w:shd w:fill="173F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2494"/>
            <w:shd w:fill="173F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职责</w:t>
            </w:r>
          </w:p>
        </w:tc>
        <w:tc>
          <w:tcPr>
            <w:tcW w:type="dxa" w:w="3969"/>
            <w:shd w:fill="173F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可见范围</w:t>
            </w:r>
          </w:p>
        </w:tc>
      </w:tr>
      <w:tr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管理员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维护基础业务数据，处理黑名单与调度操作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可查看并操作全部业务模块</w:t>
            </w:r>
          </w:p>
        </w:tc>
      </w:tr>
      <w:tr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值班调度员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查看车道、控制信号灯、进行人工修正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可访问监测、信号灯、调度、车辆信息</w:t>
            </w:r>
          </w:p>
        </w:tc>
      </w:tr>
      <w:tr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只读查看账号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查看当前状态与历史记录</w:t>
            </w:r>
          </w:p>
        </w:tc>
        <w:tc>
          <w:tcPr>
            <w:tcW w:type="dxa" w:w="32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仅查看，不允许新增、编辑、删除、控制</w:t>
            </w:r>
          </w:p>
        </w:tc>
      </w:tr>
    </w:tbl>
    <w:p>
      <w:pPr>
        <w:pStyle w:val="Heading1"/>
      </w:pPr>
      <w:r>
        <w:t>5. 功能清单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73F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268"/>
            <w:shd w:fill="173F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功能项</w:t>
            </w:r>
          </w:p>
        </w:tc>
        <w:tc>
          <w:tcPr>
            <w:tcW w:type="dxa" w:w="4195"/>
            <w:shd w:fill="173F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1361"/>
            <w:shd w:fill="173F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是否原文明确</w:t>
            </w:r>
          </w:p>
        </w:tc>
      </w:tr>
      <w:tr>
        <w:tc>
          <w:tcPr>
            <w:tcW w:type="dxa" w:w="1701"/>
            <w:shd w:fill="F8FAFC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登录与权限</w:t>
            </w:r>
          </w:p>
        </w:tc>
        <w:tc>
          <w:tcPr>
            <w:tcW w:type="dxa" w:w="2268"/>
            <w:shd w:fill="F8FAFC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登录/退出</w:t>
            </w:r>
          </w:p>
        </w:tc>
        <w:tc>
          <w:tcPr>
            <w:tcW w:type="dxa" w:w="4195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提供账号密码登录、退出登录与基础权限控制。</w:t>
            </w:r>
          </w:p>
        </w:tc>
        <w:tc>
          <w:tcPr>
            <w:tcW w:type="dxa" w:w="1361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是（登录能力为 Web 后台必要补充）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车道状态监测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车道状态查看</w:t>
            </w:r>
          </w:p>
        </w:tc>
        <w:tc>
          <w:tcPr>
            <w:tcW w:type="dxa" w:w="419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实时查看各车道占用情况，并判断是否满停。</w:t>
            </w:r>
          </w:p>
        </w:tc>
        <w:tc>
          <w:tcPr>
            <w:tcW w:type="dxa" w:w="136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是</w:t>
            </w:r>
          </w:p>
        </w:tc>
      </w:tr>
      <w:tr>
        <w:tc>
          <w:tcPr>
            <w:tcW w:type="dxa" w:w="1701"/>
            <w:shd w:fill="F8FAFC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车道信息联动</w:t>
            </w:r>
          </w:p>
        </w:tc>
        <w:tc>
          <w:tcPr>
            <w:tcW w:type="dxa" w:w="2268"/>
            <w:shd w:fill="F8FAFC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LED 状态联动展示</w:t>
            </w:r>
          </w:p>
        </w:tc>
        <w:tc>
          <w:tcPr>
            <w:tcW w:type="dxa" w:w="4195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根据车道状态，联动并展示 LED 发布结果。</w:t>
            </w:r>
          </w:p>
        </w:tc>
        <w:tc>
          <w:tcPr>
            <w:tcW w:type="dxa" w:w="1361"/>
            <w:shd w:fill="F8FAFC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是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车辆入场信息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入场记录查看</w:t>
            </w:r>
          </w:p>
        </w:tc>
        <w:tc>
          <w:tcPr>
            <w:tcW w:type="dxa" w:w="419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查看入场时间、车牌号码等结构化信息。</w:t>
            </w:r>
          </w:p>
        </w:tc>
        <w:tc>
          <w:tcPr>
            <w:tcW w:type="dxa" w:w="136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是</w:t>
            </w:r>
          </w:p>
        </w:tc>
      </w:tr>
      <w:tr>
        <w:tc>
          <w:tcPr>
            <w:tcW w:type="dxa" w:w="1701"/>
            <w:shd w:fill="F8FAFC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车辆入场信息</w:t>
            </w:r>
          </w:p>
        </w:tc>
        <w:tc>
          <w:tcPr>
            <w:tcW w:type="dxa" w:w="2268"/>
            <w:shd w:fill="F8FAFC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条件检索与追溯</w:t>
            </w:r>
          </w:p>
        </w:tc>
        <w:tc>
          <w:tcPr>
            <w:tcW w:type="dxa" w:w="4195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支持按条件查询并回看历史入场数据。</w:t>
            </w:r>
          </w:p>
        </w:tc>
        <w:tc>
          <w:tcPr>
            <w:tcW w:type="dxa" w:w="1361"/>
            <w:shd w:fill="F8FAFC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是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黑名单管理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黑名单新增/编辑/删除</w:t>
            </w:r>
          </w:p>
        </w:tc>
        <w:tc>
          <w:tcPr>
            <w:tcW w:type="dxa" w:w="419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系统独立维护黑名单，不与外部系统互通。</w:t>
            </w:r>
          </w:p>
        </w:tc>
        <w:tc>
          <w:tcPr>
            <w:tcW w:type="dxa" w:w="136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是</w:t>
            </w:r>
          </w:p>
        </w:tc>
      </w:tr>
      <w:tr>
        <w:tc>
          <w:tcPr>
            <w:tcW w:type="dxa" w:w="1701"/>
            <w:shd w:fill="F8FAFC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黑名单管理</w:t>
            </w:r>
          </w:p>
        </w:tc>
        <w:tc>
          <w:tcPr>
            <w:tcW w:type="dxa" w:w="2268"/>
            <w:shd w:fill="F8FAFC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黑名单入场预警</w:t>
            </w:r>
          </w:p>
        </w:tc>
        <w:tc>
          <w:tcPr>
            <w:tcW w:type="dxa" w:w="4195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黑名单车辆进入时触发预警并提醒管理人员。</w:t>
            </w:r>
          </w:p>
        </w:tc>
        <w:tc>
          <w:tcPr>
            <w:tcW w:type="dxa" w:w="1361"/>
            <w:shd w:fill="F8FAFC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是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信号灯联动控制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入口信号灯自动控制</w:t>
            </w:r>
          </w:p>
        </w:tc>
        <w:tc>
          <w:tcPr>
            <w:tcW w:type="dxa" w:w="419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车道满停时自动切换为红灯，禁止驶入。</w:t>
            </w:r>
          </w:p>
        </w:tc>
        <w:tc>
          <w:tcPr>
            <w:tcW w:type="dxa" w:w="136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是</w:t>
            </w:r>
          </w:p>
        </w:tc>
      </w:tr>
      <w:tr>
        <w:tc>
          <w:tcPr>
            <w:tcW w:type="dxa" w:w="1701"/>
            <w:shd w:fill="F8FAFC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信号灯联动控制</w:t>
            </w:r>
          </w:p>
        </w:tc>
        <w:tc>
          <w:tcPr>
            <w:tcW w:type="dxa" w:w="2268"/>
            <w:shd w:fill="F8FAFC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出口信号灯自动控制</w:t>
            </w:r>
          </w:p>
        </w:tc>
        <w:tc>
          <w:tcPr>
            <w:tcW w:type="dxa" w:w="4195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满足放行条件时切换为绿灯，按先进先出放行。</w:t>
            </w:r>
          </w:p>
        </w:tc>
        <w:tc>
          <w:tcPr>
            <w:tcW w:type="dxa" w:w="1361"/>
            <w:shd w:fill="F8FAFC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是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信号灯联动控制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状态复位</w:t>
            </w:r>
          </w:p>
        </w:tc>
        <w:tc>
          <w:tcPr>
            <w:tcW w:type="dxa" w:w="419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车道车辆全部通行后，将出口灯恢复为红灯。</w:t>
            </w:r>
          </w:p>
        </w:tc>
        <w:tc>
          <w:tcPr>
            <w:tcW w:type="dxa" w:w="136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是</w:t>
            </w:r>
          </w:p>
        </w:tc>
      </w:tr>
      <w:tr>
        <w:tc>
          <w:tcPr>
            <w:tcW w:type="dxa" w:w="1701"/>
            <w:shd w:fill="F8FAFC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手动修正与调度</w:t>
            </w:r>
          </w:p>
        </w:tc>
        <w:tc>
          <w:tcPr>
            <w:tcW w:type="dxa" w:w="2268"/>
            <w:shd w:fill="F8FAFC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手动控制信号灯</w:t>
            </w:r>
          </w:p>
        </w:tc>
        <w:tc>
          <w:tcPr>
            <w:tcW w:type="dxa" w:w="4195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可独立切换各车道进出口信号灯颜色。</w:t>
            </w:r>
          </w:p>
        </w:tc>
        <w:tc>
          <w:tcPr>
            <w:tcW w:type="dxa" w:w="1361"/>
            <w:shd w:fill="F8FAFC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是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手动修正与调度</w:t>
            </w:r>
          </w:p>
        </w:tc>
        <w:tc>
          <w:tcPr>
            <w:tcW w:type="dxa" w:w="2268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在场车辆数修正</w:t>
            </w:r>
          </w:p>
        </w:tc>
        <w:tc>
          <w:tcPr>
            <w:tcW w:type="dxa" w:w="419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允许人工修正系统统计值，使其与现场一致。</w:t>
            </w:r>
          </w:p>
        </w:tc>
        <w:tc>
          <w:tcPr>
            <w:tcW w:type="dxa" w:w="136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是</w:t>
            </w:r>
          </w:p>
        </w:tc>
      </w:tr>
      <w:tr>
        <w:tc>
          <w:tcPr>
            <w:tcW w:type="dxa" w:w="1701"/>
            <w:shd w:fill="F8FAFC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手动修正与调度</w:t>
            </w:r>
          </w:p>
        </w:tc>
        <w:tc>
          <w:tcPr>
            <w:tcW w:type="dxa" w:w="2268"/>
            <w:shd w:fill="F8FAFC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优先通行车道设置</w:t>
            </w:r>
          </w:p>
        </w:tc>
        <w:tc>
          <w:tcPr>
            <w:tcW w:type="dxa" w:w="4195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可人工指定下一轮优先通行的车道。</w:t>
            </w:r>
          </w:p>
        </w:tc>
        <w:tc>
          <w:tcPr>
            <w:tcW w:type="dxa" w:w="1361"/>
            <w:shd w:fill="F8FAFC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是</w:t>
            </w:r>
          </w:p>
        </w:tc>
      </w:tr>
    </w:tbl>
    <w:p>
      <w:pPr>
        <w:pStyle w:val="Heading1"/>
      </w:pPr>
      <w:r>
        <w:t>6. 详细功能说明与要求</w:t>
      </w:r>
    </w:p>
    <w:p>
      <w:pPr>
        <w:pStyle w:val="Heading2"/>
      </w:pPr>
      <w:r>
        <w:t>6.1 登录与权限</w:t>
      </w:r>
    </w:p>
    <w:p>
      <w:pPr>
        <w:spacing w:after="40"/>
        <w:ind w:left="340"/>
      </w:pPr>
      <w:r>
        <w:rPr>
          <w:rFonts w:ascii="Microsoft YaHei" w:hAnsi="Microsoft YaHei" w:eastAsia="Microsoft YaHei"/>
        </w:rPr>
        <w:t>• 系统应提供独立登录页，采用账号密码登录方式。</w:t>
      </w:r>
    </w:p>
    <w:p>
      <w:pPr>
        <w:spacing w:after="40"/>
        <w:ind w:left="340"/>
      </w:pPr>
      <w:r>
        <w:rPr>
          <w:rFonts w:ascii="Microsoft YaHei" w:hAnsi="Microsoft YaHei" w:eastAsia="Microsoft YaHei"/>
        </w:rPr>
        <w:t>• 系统登录后按账号角色控制菜单可见范围与页面操作权限。</w:t>
      </w:r>
    </w:p>
    <w:p>
      <w:pPr>
        <w:spacing w:after="40"/>
        <w:ind w:left="340"/>
      </w:pPr>
      <w:r>
        <w:rPr>
          <w:rFonts w:ascii="Microsoft YaHei" w:hAnsi="Microsoft YaHei" w:eastAsia="Microsoft YaHei"/>
        </w:rPr>
        <w:t>• 权限控制只要求满足基础可见与可操作边界，不要求复杂到按钮矩阵级别的高级权限平台。</w:t>
      </w:r>
    </w:p>
    <w:p>
      <w:pPr>
        <w:pStyle w:val="Heading2"/>
      </w:pPr>
      <w:r>
        <w:t>6.2 车道状态监测</w:t>
      </w:r>
    </w:p>
    <w:p>
      <w:pPr>
        <w:spacing w:after="40"/>
        <w:ind w:left="340"/>
      </w:pPr>
      <w:r>
        <w:rPr>
          <w:rFonts w:ascii="Microsoft YaHei" w:hAnsi="Microsoft YaHei" w:eastAsia="Microsoft YaHei"/>
        </w:rPr>
        <w:t>• 系统应实时展示各车道的占用状态，并明确区分空闲、占用、满停等状态。</w:t>
      </w:r>
    </w:p>
    <w:p>
      <w:pPr>
        <w:spacing w:after="40"/>
        <w:ind w:left="340"/>
      </w:pPr>
      <w:r>
        <w:rPr>
          <w:rFonts w:ascii="Microsoft YaHei" w:hAnsi="Microsoft YaHei" w:eastAsia="Microsoft YaHei"/>
        </w:rPr>
        <w:t>• 系统应基于采集数据判断车道是否达到满停条件。</w:t>
      </w:r>
    </w:p>
    <w:p>
      <w:pPr>
        <w:spacing w:after="40"/>
        <w:ind w:left="340"/>
      </w:pPr>
      <w:r>
        <w:rPr>
          <w:rFonts w:ascii="Microsoft YaHei" w:hAnsi="Microsoft YaHei" w:eastAsia="Microsoft YaHei"/>
        </w:rPr>
        <w:t>• 系统页面应能够集中查看所有车道的当前状态，便于值班人员快速判断现场情况。</w:t>
      </w:r>
    </w:p>
    <w:p>
      <w:pPr>
        <w:pStyle w:val="Heading2"/>
      </w:pPr>
      <w:r>
        <w:t>6.3 车道信息联动发布</w:t>
      </w:r>
    </w:p>
    <w:p>
      <w:pPr>
        <w:spacing w:after="40"/>
        <w:ind w:left="340"/>
      </w:pPr>
      <w:r>
        <w:rPr>
          <w:rFonts w:ascii="Microsoft YaHei" w:hAnsi="Microsoft YaHei" w:eastAsia="Microsoft YaHei"/>
        </w:rPr>
        <w:t>• 系统应根据车道实时监测结果向 LED 信息显示屏同步状态信息。</w:t>
      </w:r>
    </w:p>
    <w:p>
      <w:pPr>
        <w:spacing w:after="40"/>
        <w:ind w:left="340"/>
      </w:pPr>
      <w:r>
        <w:rPr>
          <w:rFonts w:ascii="Microsoft YaHei" w:hAnsi="Microsoft YaHei" w:eastAsia="Microsoft YaHei"/>
        </w:rPr>
        <w:t>• Web 页面中应能看到当前车道对应的联动发布状态或结果。</w:t>
      </w:r>
    </w:p>
    <w:p>
      <w:pPr>
        <w:spacing w:after="40"/>
        <w:ind w:left="340"/>
      </w:pPr>
      <w:r>
        <w:rPr>
          <w:rFonts w:ascii="Microsoft YaHei" w:hAnsi="Microsoft YaHei" w:eastAsia="Microsoft YaHei"/>
        </w:rPr>
        <w:t>• 本阶段只要求展示联动结果，不扩展为复杂的信息编辑系统。</w:t>
      </w:r>
    </w:p>
    <w:p>
      <w:pPr>
        <w:pStyle w:val="Heading2"/>
      </w:pPr>
      <w:r>
        <w:t>6.4 车辆入场信息精准监测</w:t>
      </w:r>
    </w:p>
    <w:p>
      <w:pPr>
        <w:spacing w:after="40"/>
        <w:ind w:left="340"/>
      </w:pPr>
      <w:r>
        <w:rPr>
          <w:rFonts w:ascii="Microsoft YaHei" w:hAnsi="Microsoft YaHei" w:eastAsia="Microsoft YaHei"/>
        </w:rPr>
        <w:t>• 系统应接收入口车牌识别抓拍设备传入的结构化数据。</w:t>
      </w:r>
    </w:p>
    <w:p>
      <w:pPr>
        <w:spacing w:after="40"/>
        <w:ind w:left="340"/>
      </w:pPr>
      <w:r>
        <w:rPr>
          <w:rFonts w:ascii="Microsoft YaHei" w:hAnsi="Microsoft YaHei" w:eastAsia="Microsoft YaHei"/>
        </w:rPr>
        <w:t>• 系统应记录至少包括车牌号码、入场时间等核心信息。</w:t>
      </w:r>
    </w:p>
    <w:p>
      <w:pPr>
        <w:spacing w:after="40"/>
        <w:ind w:left="340"/>
      </w:pPr>
      <w:r>
        <w:rPr>
          <w:rFonts w:ascii="Microsoft YaHei" w:hAnsi="Microsoft YaHei" w:eastAsia="Microsoft YaHei"/>
        </w:rPr>
        <w:t>• 系统后台应支持实时查看、条件检索与历史追溯，以满足日常管理和核查需求。</w:t>
      </w:r>
    </w:p>
    <w:p>
      <w:pPr>
        <w:pStyle w:val="Heading2"/>
      </w:pPr>
      <w:r>
        <w:t>6.5 独立黑名单管理与预警</w:t>
      </w:r>
    </w:p>
    <w:p>
      <w:pPr>
        <w:spacing w:after="40"/>
        <w:ind w:left="340"/>
      </w:pPr>
      <w:r>
        <w:rPr>
          <w:rFonts w:ascii="Microsoft YaHei" w:hAnsi="Microsoft YaHei" w:eastAsia="Microsoft YaHei"/>
        </w:rPr>
        <w:t>• 系统应提供黑名单车辆的新增、编辑、删除能力。</w:t>
      </w:r>
    </w:p>
    <w:p>
      <w:pPr>
        <w:spacing w:after="40"/>
        <w:ind w:left="340"/>
      </w:pPr>
      <w:r>
        <w:rPr>
          <w:rFonts w:ascii="Microsoft YaHei" w:hAnsi="Microsoft YaHei" w:eastAsia="Microsoft YaHei"/>
        </w:rPr>
        <w:t>• 黑名单库为系统内部独立维护，不要求与外部系统对接或同步。</w:t>
      </w:r>
    </w:p>
    <w:p>
      <w:pPr>
        <w:spacing w:after="40"/>
        <w:ind w:left="340"/>
      </w:pPr>
      <w:r>
        <w:rPr>
          <w:rFonts w:ascii="Microsoft YaHei" w:hAnsi="Microsoft YaHei" w:eastAsia="Microsoft YaHei"/>
        </w:rPr>
        <w:t>• 当黑名单车辆入场时，系统应触发预警并在页面上提醒管理人员。</w:t>
      </w:r>
    </w:p>
    <w:p>
      <w:pPr>
        <w:pStyle w:val="Heading2"/>
      </w:pPr>
      <w:r>
        <w:t>6.6 智能信号灯联动控制</w:t>
      </w:r>
    </w:p>
    <w:p>
      <w:pPr>
        <w:spacing w:after="40"/>
        <w:ind w:left="340"/>
      </w:pPr>
      <w:r>
        <w:rPr>
          <w:rFonts w:ascii="Microsoft YaHei" w:hAnsi="Microsoft YaHei" w:eastAsia="Microsoft YaHei"/>
        </w:rPr>
        <w:t>• 当车道达到满停状态时，系统应自动控制入口信号灯切换为红灯。</w:t>
      </w:r>
    </w:p>
    <w:p>
      <w:pPr>
        <w:spacing w:after="40"/>
        <w:ind w:left="340"/>
      </w:pPr>
      <w:r>
        <w:rPr>
          <w:rFonts w:ascii="Microsoft YaHei" w:hAnsi="Microsoft YaHei" w:eastAsia="Microsoft YaHei"/>
        </w:rPr>
        <w:t>• 当满足放行条件时，系统应自动控制出口信号灯切换为绿灯。</w:t>
      </w:r>
    </w:p>
    <w:p>
      <w:pPr>
        <w:spacing w:after="40"/>
        <w:ind w:left="340"/>
      </w:pPr>
      <w:r>
        <w:rPr>
          <w:rFonts w:ascii="Microsoft YaHei" w:hAnsi="Microsoft YaHei" w:eastAsia="Microsoft YaHei"/>
        </w:rPr>
        <w:t>• 系统应遵循先进先出的基本调度逻辑。</w:t>
      </w:r>
    </w:p>
    <w:p>
      <w:pPr>
        <w:spacing w:after="40"/>
        <w:ind w:left="340"/>
      </w:pPr>
      <w:r>
        <w:rPr>
          <w:rFonts w:ascii="Microsoft YaHei" w:hAnsi="Microsoft YaHei" w:eastAsia="Microsoft YaHei"/>
        </w:rPr>
        <w:t>• 当车道内车辆全部通行完毕后，系统应将出口灯恢复为红灯并反馈车道空闲状态。</w:t>
      </w:r>
    </w:p>
    <w:p>
      <w:pPr>
        <w:pStyle w:val="Heading2"/>
      </w:pPr>
      <w:r>
        <w:t>6.7 手动数据修正与灵活调度</w:t>
      </w:r>
    </w:p>
    <w:p>
      <w:pPr>
        <w:spacing w:after="40"/>
        <w:ind w:left="340"/>
      </w:pPr>
      <w:r>
        <w:rPr>
          <w:rFonts w:ascii="Microsoft YaHei" w:hAnsi="Microsoft YaHei" w:eastAsia="Microsoft YaHei"/>
        </w:rPr>
        <w:t>• 系统应支持管理人员手动切换各车道进出口信号灯的颜色。</w:t>
      </w:r>
    </w:p>
    <w:p>
      <w:pPr>
        <w:spacing w:after="40"/>
        <w:ind w:left="340"/>
      </w:pPr>
      <w:r>
        <w:rPr>
          <w:rFonts w:ascii="Microsoft YaHei" w:hAnsi="Microsoft YaHei" w:eastAsia="Microsoft YaHei"/>
        </w:rPr>
        <w:t>• 系统应支持管理人员人工修正各车道在场车辆数。</w:t>
      </w:r>
    </w:p>
    <w:p>
      <w:pPr>
        <w:spacing w:after="40"/>
        <w:ind w:left="340"/>
      </w:pPr>
      <w:r>
        <w:rPr>
          <w:rFonts w:ascii="Microsoft YaHei" w:hAnsi="Microsoft YaHei" w:eastAsia="Microsoft YaHei"/>
        </w:rPr>
        <w:t>• 系统应支持在特殊场景下指定下一轮优先通行车道。</w:t>
      </w:r>
    </w:p>
    <w:p>
      <w:pPr>
        <w:spacing w:after="40"/>
        <w:ind w:left="340"/>
      </w:pPr>
      <w:r>
        <w:rPr>
          <w:rFonts w:ascii="Microsoft YaHei" w:hAnsi="Microsoft YaHei" w:eastAsia="Microsoft YaHei"/>
        </w:rPr>
        <w:t>• 相关人工操作应有二次确认，以降低误操作风险。</w:t>
      </w:r>
    </w:p>
    <w:p>
      <w:pPr>
        <w:pStyle w:val="Heading1"/>
      </w:pPr>
      <w:r>
        <w:t>7. 页面范围建议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248"/>
        <w:gridCol w:w="3248"/>
        <w:gridCol w:w="3248"/>
      </w:tblGrid>
      <w:tr>
        <w:tc>
          <w:tcPr>
            <w:tcW w:type="dxa" w:w="907"/>
            <w:shd w:fill="173F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3061"/>
            <w:shd w:fill="173F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页面</w:t>
            </w:r>
          </w:p>
        </w:tc>
        <w:tc>
          <w:tcPr>
            <w:tcW w:type="dxa" w:w="4535"/>
            <w:shd w:fill="173F5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2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324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登录页</w:t>
            </w:r>
          </w:p>
        </w:tc>
        <w:tc>
          <w:tcPr>
            <w:tcW w:type="dxa" w:w="324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账号密码登录。</w:t>
            </w:r>
          </w:p>
        </w:tc>
      </w:tr>
      <w:tr>
        <w:tc>
          <w:tcPr>
            <w:tcW w:type="dxa" w:w="32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324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首页/车道总览页</w:t>
            </w:r>
          </w:p>
        </w:tc>
        <w:tc>
          <w:tcPr>
            <w:tcW w:type="dxa" w:w="324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集中展示各车道状态、信号灯状态、预警提醒。</w:t>
            </w:r>
          </w:p>
        </w:tc>
      </w:tr>
      <w:tr>
        <w:tc>
          <w:tcPr>
            <w:tcW w:type="dxa" w:w="32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324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车辆入场信息页</w:t>
            </w:r>
          </w:p>
        </w:tc>
        <w:tc>
          <w:tcPr>
            <w:tcW w:type="dxa" w:w="324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查看入场记录并支持条件检索与历史追溯。</w:t>
            </w:r>
          </w:p>
        </w:tc>
      </w:tr>
      <w:tr>
        <w:tc>
          <w:tcPr>
            <w:tcW w:type="dxa" w:w="32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324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黑名单管理页</w:t>
            </w:r>
          </w:p>
        </w:tc>
        <w:tc>
          <w:tcPr>
            <w:tcW w:type="dxa" w:w="324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管理黑名单车辆信息。</w:t>
            </w:r>
          </w:p>
        </w:tc>
      </w:tr>
      <w:tr>
        <w:tc>
          <w:tcPr>
            <w:tcW w:type="dxa" w:w="32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324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黑名单预警弹窗/预警页</w:t>
            </w:r>
          </w:p>
        </w:tc>
        <w:tc>
          <w:tcPr>
            <w:tcW w:type="dxa" w:w="324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展示黑名单车辆入场预警。</w:t>
            </w:r>
          </w:p>
        </w:tc>
      </w:tr>
      <w:tr>
        <w:tc>
          <w:tcPr>
            <w:tcW w:type="dxa" w:w="32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324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信号灯联动控制页</w:t>
            </w:r>
          </w:p>
        </w:tc>
        <w:tc>
          <w:tcPr>
            <w:tcW w:type="dxa" w:w="324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查看和控制车道进出口信号灯。</w:t>
            </w:r>
          </w:p>
        </w:tc>
      </w:tr>
      <w:tr>
        <w:tc>
          <w:tcPr>
            <w:tcW w:type="dxa" w:w="32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324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手动修正与调度页</w:t>
            </w:r>
          </w:p>
        </w:tc>
        <w:tc>
          <w:tcPr>
            <w:tcW w:type="dxa" w:w="324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修正车辆数并设置优先通行车道。</w:t>
            </w:r>
          </w:p>
        </w:tc>
      </w:tr>
    </w:tbl>
    <w:p>
      <w:pPr>
        <w:pStyle w:val="Heading1"/>
      </w:pPr>
      <w:r>
        <w:t>8. 非功能要求</w:t>
      </w:r>
    </w:p>
    <w:p>
      <w:pPr>
        <w:ind w:left="340"/>
      </w:pPr>
      <w:r>
        <w:rPr>
          <w:rFonts w:ascii="Microsoft YaHei" w:hAnsi="Microsoft YaHei" w:eastAsia="Microsoft YaHei"/>
        </w:rPr>
        <w:t>• 系统应支持 PC 端后台使用，页面适配 1440 宽及以上常见办公分辨率。</w:t>
      </w:r>
    </w:p>
    <w:p>
      <w:pPr>
        <w:ind w:left="340"/>
      </w:pPr>
      <w:r>
        <w:rPr>
          <w:rFonts w:ascii="Microsoft YaHei" w:hAnsi="Microsoft YaHei" w:eastAsia="Microsoft YaHei"/>
        </w:rPr>
        <w:t>• 车道状态、信号灯状态、黑名单预警等信息应具备较好的实时性。</w:t>
      </w:r>
    </w:p>
    <w:p>
      <w:pPr>
        <w:ind w:left="340"/>
      </w:pPr>
      <w:r>
        <w:rPr>
          <w:rFonts w:ascii="Microsoft YaHei" w:hAnsi="Microsoft YaHei" w:eastAsia="Microsoft YaHei"/>
        </w:rPr>
        <w:t>• 页面应突出状态区分，保证值班人员在高信息密度下仍能快速判断。</w:t>
      </w:r>
    </w:p>
    <w:p>
      <w:pPr>
        <w:ind w:left="340"/>
      </w:pPr>
      <w:r>
        <w:rPr>
          <w:rFonts w:ascii="Microsoft YaHei" w:hAnsi="Microsoft YaHei" w:eastAsia="Microsoft YaHei"/>
        </w:rPr>
        <w:t>• 关键人工操作应具备确认机制，避免误触发。</w:t>
      </w:r>
    </w:p>
    <w:p>
      <w:pPr>
        <w:pStyle w:val="Heading1"/>
      </w:pPr>
      <w:r>
        <w:t>9. 本阶段不纳入内容</w:t>
      </w:r>
    </w:p>
    <w:p>
      <w:pPr>
        <w:ind w:left="340"/>
      </w:pPr>
      <w:r>
        <w:rPr>
          <w:rFonts w:ascii="Microsoft YaHei" w:hAnsi="Microsoft YaHei" w:eastAsia="Microsoft YaHei"/>
        </w:rPr>
        <w:t>• 收费结算、订单管理、会员管理</w:t>
      </w:r>
    </w:p>
    <w:p>
      <w:pPr>
        <w:ind w:left="340"/>
      </w:pPr>
      <w:r>
        <w:rPr>
          <w:rFonts w:ascii="Microsoft YaHei" w:hAnsi="Microsoft YaHei" w:eastAsia="Microsoft YaHei"/>
        </w:rPr>
        <w:t>• 复杂数据分析大屏与趋势 BI 报表</w:t>
      </w:r>
    </w:p>
    <w:p>
      <w:pPr>
        <w:ind w:left="340"/>
      </w:pPr>
      <w:r>
        <w:rPr>
          <w:rFonts w:ascii="Microsoft YaHei" w:hAnsi="Microsoft YaHei" w:eastAsia="Microsoft YaHei"/>
        </w:rPr>
        <w:t>• 独立日志审计中心</w:t>
      </w:r>
    </w:p>
    <w:p>
      <w:pPr>
        <w:ind w:left="340"/>
      </w:pPr>
      <w:r>
        <w:rPr>
          <w:rFonts w:ascii="Microsoft YaHei" w:hAnsi="Microsoft YaHei" w:eastAsia="Microsoft YaHei"/>
        </w:rPr>
        <w:t>• 复杂系统配置平台</w:t>
      </w:r>
    </w:p>
    <w:p>
      <w:pPr>
        <w:ind w:left="340"/>
      </w:pPr>
      <w:r>
        <w:rPr>
          <w:rFonts w:ascii="Microsoft YaHei" w:hAnsi="Microsoft YaHei" w:eastAsia="Microsoft YaHei"/>
        </w:rPr>
        <w:t>• 设备运维工单、通知中心、工单流转</w:t>
      </w:r>
    </w:p>
    <w:p>
      <w:pPr>
        <w:ind w:left="340"/>
      </w:pPr>
      <w:r>
        <w:rPr>
          <w:rFonts w:ascii="Microsoft YaHei" w:hAnsi="Microsoft YaHei" w:eastAsia="Microsoft YaHei"/>
        </w:rPr>
        <w:t>• 原始文档未明确提出的统计图表与扩展业务模块</w:t>
      </w:r>
    </w:p>
    <w:sectPr w:rsidR="00FC693F" w:rsidRPr="0006063C" w:rsidSect="00034616">
      <w:footerReference w:type="default" r:id="rId9"/>
      <w:pgSz w:w="12240" w:h="15840"/>
      <w:pgMar w:top="1247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7"/>
      </w:rPr>
      <w:t>智行车道调度系统｜项目说明文档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F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5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5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F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