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2026 年 1-8 月经营情况汇报</w:t>
      </w:r>
    </w:p>
    <w:p>
      <w:r>
        <w:t xml:space="preserve">1-8 月实现营业收入 325,644 万元，完成全年滚动预测的 65.1%，同比下降 1.8%。</w:t>
      </w:r>
    </w:p>
    <w:p>
      <w:r>
        <w:t xml:space="preserve">营业成本 266,854.5 元，综合毛利率 18.05%，同比下降 0.9 个百分点。</w:t>
      </w:r>
    </w:p>
    <w:p>
      <w:r>
        <w:t xml:space="preserve">营业利润 21,086 万元，归属于母公司净利润 12,975.30 万元。</w:t>
      </w:r>
    </w:p>
    <w:p>
      <w:r>
        <w:t xml:space="preserve">期末应收账款余额 150,000 万元，坏账准备 22,125 万元，综合计提比例 14.75%。</w:t>
      </w:r>
    </w:p>
    <w:p>
      <w:r>
        <w:t xml:space="preserve">1-8 月经营活动现金流量净额 18,431.94 万元，为净利润的 1.13 倍。</w:t>
      </w:r>
    </w:p>
  </w:body>
</w:document>
</file>