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Customer Segmentation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Analysis Report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RFM-Based K-Means Clustering for Targeted CRM Strategy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34495E"/>
          <w:sz w:val="24"/>
          <w:szCs w:val="24"/>
        </w:rPr>
        <w:t xml:space="preserve">Prepared for: Marketing &amp; CRM Teams</w:t>
      </w:r>
    </w:p>
    <w:p>
      <w:pPr>
        <w:jc w:val="center"/>
      </w:pPr>
      <w:r>
        <w:rPr>
          <w:rFonts w:ascii="Arial" w:cs="Arial" w:eastAsia="Arial" w:hAnsi="Arial"/>
          <w:color w:val="34495E"/>
          <w:sz w:val="24"/>
          <w:szCs w:val="24"/>
        </w:rPr>
        <w:t xml:space="preserve">Data Analytics Department</w:t>
      </w:r>
    </w:p>
    <w:p>
      <w:pPr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June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analyzes 2,000 customers and 47,836 transactions using RFM modeling and K-Means clustering to identify naturally occurring customer segments. The analysis reveals four distinct groups with dramatically different behaviors, values, and needs.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key finding is a classic Pareto distribution: 24.4% of customers (VIP segment) generate 86.1% of total revenue ($7.3M out of $8.5M). Meanwhile, 29.2% of customers (At Risk / Lost) have essentially stopped engaging, contributing only 1.2% of revenue.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VIP (489 customers, 24.4%): 22 orders average, $14,920 per customer, 86.1% of revenue — the business's lifeblood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Dormant (606 customers, 30.3%): 81 days since last purchase, 5.3 historical orders — the largest recall opportunity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 (321 customers, 16.1%): Active (12 days recency) but low value ($1,076/customer) — needs ARPU 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Risk / Lost (584 customers, 29.2%): 182 days inactive, 1.2 orders average — minimal ROI for recall investment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actionable priority: recall Dormant customers (606 people, $735K historical revenue) while protecting VIPs. The loss of a single VIP ($14.9K average lifetime value) is equivalent to losing 89 At Risk customers.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Methodology</w:t>
      </w:r>
    </w:p>
    <w:p>
      <w:pPr>
        <w:pStyle w:val="Heading2"/>
      </w:pPr>
      <w:r>
        <w:rPr>
          <w:rFonts w:ascii="Arial" w:cs="Arial" w:eastAsia="Arial" w:hAnsi="Arial"/>
        </w:rPr>
        <w:t xml:space="preserve">1.1 RFM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RFM (Recency, Frequency, Monetary) is the most widely used customer value model in CRM analytics. It reduces customer behavior to three fundamental dimensions: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Recency: Days since last purchase (lower = more engaged)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Frequency: Total number of orders (higher = more loyal)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Monetary: Total lifetime spending (higher = more valuable)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three metrics were computed from 47,836 transactions spanning 365 days. Key summary statistics: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Skewness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Recency (days)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 (orders)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2.29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Monetary ($)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$119,471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5.44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extreme right-skew in Monetary (5.44) required log(1+x) transformation before clustering. Without this step, K-Means would be dominated by a few top spenders and fail to capture meaningful behavioral patterns.</w:t>
      </w:r>
    </w:p>
    <w:p>
      <w:pPr>
        <w:pStyle w:val="Heading2"/>
      </w:pPr>
      <w:r>
        <w:rPr>
          <w:rFonts w:ascii="Arial" w:cs="Arial" w:eastAsia="Arial" w:hAnsi="Arial"/>
        </w:rPr>
        <w:t xml:space="preserve">1.2 Preprocessing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Three-step preprocessing was applied to ensure fair clustering: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transformation: Reduced Monetary skewness from 5.44 to 0.04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StandardScaler: Normalized all features to mean=0, std=1 (equal weighting)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 selection: Elbow Method + Silhouette Score dual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Silhouette Score peaked at k=2 (0.45), but business judgment overrode mathematical optimality — 2 clusters (good vs. bad) cannot drive differentiated marketing strategy. We selected k=4 for actionable segmentation.</w:t>
      </w:r>
    </w:p>
    <w:p>
      <w:pPr>
        <w:pStyle w:val="Heading2"/>
      </w:pPr>
      <w:r>
        <w:rPr>
          <w:rFonts w:ascii="Arial" w:cs="Arial" w:eastAsia="Arial" w:hAnsi="Arial"/>
        </w:rPr>
        <w:t xml:space="preserve">1.3 K-Means Clustering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K-Means iteratively assigns each customer to the nearest cluster centroid, minimizing within-cluster distance. This unsupervised approach discovers natural customer groupings without requiring labeled training data.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Parameters: k=4, random_state=42, max_iter=300. Cluster names were auto-assigned by ranking median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 Recency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 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 Monetary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 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$10,811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Dormant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$832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 Risk / Lost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174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$110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Segment Profiles</w:t>
      </w:r>
    </w:p>
    <w:p>
      <w:r>
        <w:drawing>
          <wp:inline distT="0" distB="0" distL="0" distR="0">
            <wp:extent cx="5143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Figure 1: 6-in-1 segmentation dashboard — Elbow method, Silhouette analysis, 3D scatter plot, segment distribution, revenue share, and cluster radar chart.</w:t>
      </w:r>
    </w:p>
    <w:p>
      <w:pPr>
        <w:pStyle w:val="Heading2"/>
      </w:pPr>
      <w:r>
        <w:rPr>
          <w:rFonts w:ascii="Arial" w:cs="Arial" w:eastAsia="Arial" w:hAnsi="Arial"/>
        </w:rPr>
        <w:t xml:space="preserve">2.1 VIP (489 customers, 24.4%)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the business's core customers. They purchase frequently (22 orders average), spend heavily ($14,920/customer), and return regularly (median 14 days since last purchase).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17.1 days (range: 1-109)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22.0 orders (max: 58)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Monetary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$14,920 average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Order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$541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Share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86.1% ($7,295,843)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Items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219 avg per customer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Strategy: Protect, don't grow.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VIPs should be shielded from aggressive marketing. Every lost VIP costs $14.9K — equivalent to losing 89 At Risk customers. Priority actions: dedicated account managers, early access to new products, loyalty program with tangible rewards, and proactive check-ins when recency exceeds 30 days.</w:t>
      </w:r>
    </w:p>
    <w:p>
      <w:pPr>
        <w:pStyle w:val="Heading2"/>
      </w:pPr>
      <w:r>
        <w:rPr>
          <w:rFonts w:ascii="Arial" w:cs="Arial" w:eastAsia="Arial" w:hAnsi="Arial"/>
        </w:rPr>
        <w:t xml:space="preserve">2.2 Dormant (606 customers, 30.3%)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customers have purchase history (5.3 orders average) but have been inactive for an average of 81 days. They represent the highest-ROI recall opportunity — they've proven willingness to buy but simply stopped returning.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80.6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 orders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Monetary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$1,213 average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Order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$227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Share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8.7% ($734,887)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Strategy: Recall with targeted incentives.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Dormant customers have proven purchase patterns — they just need a nudge. Recommended actions: "We miss you" email campaign ($10-$15 discount), product category reminders based on purchase history, and time-limited offers creating urgency. Even a 10% reactivation rate recovers ~61 customers and $73K in future value.</w:t>
      </w:r>
    </w:p>
    <w:p>
      <w:pPr>
        <w:pStyle w:val="Heading2"/>
      </w:pPr>
      <w:r>
        <w:rPr>
          <w:rFonts w:ascii="Arial" w:cs="Arial" w:eastAsia="Arial" w:hAnsi="Arial"/>
        </w:rPr>
        <w:t xml:space="preserve">2.3 Standard (321 customers, 16.1%)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Active shoppers (only 12 days since last purchase) but lower order frequency and spend. They're engaged with the platform but haven't become heavy buyers.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12.0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 orders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Monetary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$1,076 average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Order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Share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4.1% ($345,362)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Strategy: Grow basket size, not frequency.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They already visit often — the lever is getting them to spend more per visit. Recommended: cross-sell recommendations at checkout, free-shipping thresholds ($250+), "complete the look" bundles, and VIP membership teasers showing what they're missing at higher spend levels.</w:t>
      </w:r>
    </w:p>
    <w:p>
      <w:pPr>
        <w:pStyle w:val="Heading2"/>
      </w:pPr>
      <w:r>
        <w:rPr>
          <w:rFonts w:ascii="Arial" w:cs="Arial" w:eastAsia="Arial" w:hAnsi="Arial"/>
        </w:rPr>
        <w:t xml:space="preserve">2.4 At Risk / Lost (584 customers, 29.2%)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customers have essentially abandoned the platform: 182 days average inactivity, only 1.2 lifetime orders. They're one-time buyers who never returned.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182.2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1.2 orders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Monetary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$168 average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Order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$139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Share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1.2% ($98,011)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Strategy: Minimal investment.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only 1.2 lifetime orders and $139 average order value, the ROI on recall campaigns is likely negative. Recommended: one automated re-engagement email, then exclude from marketing spend. Do not invest paid retargeting on this segment — allocate that budget to Dormant recall instead.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Revenue Concentration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revenue distribution across segments reveals extreme concentration — a pattern consistent with the Pareto Principle but even more pronounced than typical e-commerce benchmarks.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489 (24.4%)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$7,295,843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86.1%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Dormant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606 (30.3%)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$734,887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321 (16.1%)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$345,362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 Risk / Lost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584 (29.2%)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$98,011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1.2%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2,000 (100%)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$8,474,103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insight: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business is heavily dependent on a small core of VIP customers. While this concentration is common in e-commerce, it creates significant business risk — even a 5% VIP churn rate (24 customers) would cost $358K in lost revenue. For comparison, losing all 584 At Risk customers costs only $98K.</w:t>
      </w:r>
    </w:p>
    <w:p>
      <w:pPr>
        <w:pStyle w:val="Heading2"/>
      </w:pPr>
      <w:r>
        <w:rPr>
          <w:rFonts w:ascii="Arial" w:cs="Arial" w:eastAsia="Arial" w:hAnsi="Arial"/>
        </w:rPr>
        <w:t xml:space="preserve">3.1 Customer Lifetime Value by Segment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Estimated average CLV per segment, ranked: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CLV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CLV Ratio vs At Risk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$14,920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88.8x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Dormant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$1,213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$1,076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6.4x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 Risk / Lost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$168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CRM Action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the segment profiles, we recommend a differentiated marketing strategy with specific actions, budgets, and expected outcomes for each segment.</w:t>
      </w:r>
    </w:p>
    <w:p>
      <w:pPr>
        <w:pStyle w:val="Heading2"/>
      </w:pPr>
      <w:r>
        <w:rPr>
          <w:rFonts w:ascii="Arial" w:cs="Arial" w:eastAsia="Arial" w:hAnsi="Arial"/>
        </w:rPr>
        <w:t xml:space="preserve">4.1 VIP: Protection Program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P0 — Highest urgency, highest ROI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Dedicated account management for top 100 VIPs (those above $25K lifetime spend)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alert when any VIP exceeds 30 days without purchase (currently all within 109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Exclusive early access to new products and seasonal 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Tiered loyalty program: Platinum ($25K+), Gold ($10K-$25K), Silver (&lt;$10K)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Estimated cost: $15K/year for loyalty program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Protected revenue: $7.3M (86.1% of total business)</w:t>
      </w:r>
    </w:p>
    <w:p>
      <w:pPr>
        <w:pStyle w:val="Heading2"/>
      </w:pPr>
      <w:r>
        <w:rPr>
          <w:rFonts w:ascii="Arial" w:cs="Arial" w:eastAsia="Arial" w:hAnsi="Arial"/>
        </w:rPr>
        <w:t xml:space="preserve">4.2 Dormant: Recall Campaign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P1 — Largest ROI opportunity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 "We miss you" email with $10 off next purchase (cost: ~$6,060 if all respond)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recommendation based on purchase history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48-hour flash sale with countdown urgency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A/B test: discount vs. free shipping vs. new arrivals announcement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Expected reactivation rate: 10-15% based on industry benchmarks for 60-90 day dormants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Estimated ROI: $73.5K - $110K in recovered revenue vs. ~$6K campaign cost</w:t>
      </w:r>
    </w:p>
    <w:p>
      <w:pPr>
        <w:pStyle w:val="Heading2"/>
      </w:pPr>
      <w:r>
        <w:rPr>
          <w:rFonts w:ascii="Arial" w:cs="Arial" w:eastAsia="Arial" w:hAnsi="Arial"/>
        </w:rPr>
        <w:t xml:space="preserve">4.3 Standard: Basket Growth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P2 — Steady-state 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Cross-sell widget at checkout: "Customers who bought X also bought Y"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shipping threshold set at $250 (currently most orders below this)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"Complete the look" bundle discounts on multi-item purchases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VIP preview: show what they unlock at higher spend tiers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Target: increase average order value from $206 to $250 (+21%)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Potential incremental revenue: $105K/year from AOV uplift</w:t>
      </w:r>
    </w:p>
    <w:p>
      <w:pPr>
        <w:pStyle w:val="Heading2"/>
      </w:pPr>
      <w:r>
        <w:rPr>
          <w:rFonts w:ascii="Arial" w:cs="Arial" w:eastAsia="Arial" w:hAnsi="Arial"/>
        </w:rPr>
        <w:t xml:space="preserve">4.4 At Risk: Minimal Intervention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P3 — Low investment, low expectation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automated re-engagement email: "We've got new arrivals you might like"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Exclude from paid retargeting campaigns (negative ROI expected)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Re-evaluate in 90 days: if recency &gt;270 days, move to inactive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Estimated cost: &lt;$50 for automated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Expected impact: &lt;5% reactivation (~29 customers, ~$4,900)</w:t>
      </w:r>
    </w:p>
    <w:p>
      <w:pPr>
        <w:pStyle w:val="Heading2"/>
      </w:pPr>
      <w:r>
        <w:rPr>
          <w:rFonts w:ascii="Arial" w:cs="Arial" w:eastAsia="Arial" w:hAnsi="Arial"/>
        </w:rPr>
        <w:t xml:space="preserve">4.5 Campaign Budget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Return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ROI Multiple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VIP Protection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$15,000/yr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$7.3M protected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N/A (retention)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Dormant Recall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$6,060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$73K-$110K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12x-18x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 AOV Growth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$105K/yr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21x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 Risk Re-engage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$4,900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98x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$26,110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$183K-$220K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7x-8x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Appendix: Technical Details</w:t>
      </w:r>
    </w:p>
    <w:p>
      <w:pPr>
        <w:pStyle w:val="Heading2"/>
      </w:pPr>
      <w:r>
        <w:rPr>
          <w:rFonts w:ascii="Arial" w:cs="Arial" w:eastAsia="Arial" w:hAnsi="Arial"/>
        </w:rPr>
        <w:t xml:space="preserve">Programming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3.9 with pandas, numpy, scikit-learn, matplotlib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Data: 47,836 synthetic e-commerce transactions across 2,000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RFM computation from transaction-level data with groupby aggregation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K-Means clustering via sklearn.cluster.KMeans (k=4, random_state=42)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Visualization: matplotlib 3D scatter, seaborn radar, dual validation plots</w:t>
      </w:r>
    </w:p>
    <w:p>
      <w:pPr>
        <w:pStyle w:val="Heading2"/>
      </w:pPr>
      <w:r>
        <w:rPr>
          <w:rFonts w:ascii="Arial" w:cs="Arial" w:eastAsia="Arial" w:hAnsi="Arial"/>
        </w:rPr>
        <w:t xml:space="preserve">Key Metrics Definitions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Silhouette Score: Measures how well-separated clusters are (-1 to +1, &gt;0.25 usable)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Elbow Method: Plots inertia (within-cluster SSE) vs. k to find diminishing returns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Transformation: log(1+x) to normalize right-skewed distributions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StandardScaler: Z-score normalization (mean=0, std=1)</w:t>
      </w:r>
    </w:p>
    <w:p>
      <w:pPr>
        <w:pStyle w:val="Heading2"/>
      </w:pPr>
      <w:r>
        <w:rPr>
          <w:rFonts w:ascii="Arial" w:cs="Arial" w:eastAsia="Arial" w:hAnsi="Arial"/>
        </w:rPr>
        <w:t xml:space="preserve">Preprocessing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Skewness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log(1+x)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-0.37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0.42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Monetary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5.44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0.04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Limitations &amp;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Synthetic data may not capture real-world seasonality and market dynamics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Recommend quarterly re-segmentation with fresh transaction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Segment stability should be monitored — check if 10%+ of customers shift clusters each quarter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A/B testing is essential before full-scale CRM campaign rollout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adding product category affinity to enrich segment 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Future: apply the same methodology to country-level sub-segments for geo-targeting</w:t>
      </w:r>
    </w:p>
    <w:p>
      <w:pPr>
        <w:pStyle w:val="Heading2"/>
      </w:pPr>
      <w:r>
        <w:rPr>
          <w:rFonts w:ascii="Arial" w:cs="Arial" w:eastAsia="Arial" w:hAnsi="Arial"/>
        </w:rPr>
        <w:t xml:space="preserve">Files Delivered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step1_rfm_clustering.py — Full analysis pipeline (reproducible)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data/customer_segments.csv — All 2,000 customers with cluster assignments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data/online_retail.xlsx — Raw transaction data (47,836 records)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reports/Customer_Segmentation_Report_June2026.docx — This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charts/01_customer_segmentation.png — 6-in-1 visualization dashboard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Customer Segmentation Report | June 2026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606349b19f005c49529620693a96b0e86b9ea2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2026-06-10T09:29:35.343Z</dcterms:created>
  <dcterms:modified xsi:type="dcterms:W3CDTF">2026-06-10T09:29:35.344Z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