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Customer Churn Analysis Report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Telecommunications Customer Retention Strategy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Prepared for: CEO &amp; Executive Team</w:t>
      </w:r>
    </w:p>
    <w:p>
      <w:pPr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Data Analytics Department</w:t>
      </w:r>
    </w:p>
    <w:p>
      <w:pPr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analyzes customer churn across our telecommunications platform, involving 7,043 customers and 21 behavioral features. The current churn rate is 26.5%, representing 1,869 lost customers and an estimated $1.9M in lost lifetime revenue from month-to-month users alone.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Through exploratory data analysis, statistical modeling, and machine learning (Logistic Regression, AUC=0.848), we identified the root causes of churn and developed actionable strategies projected to reduce churn by up to 37%.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Tenure is the single strongest predictor: 47.4% of customers churn within their first year vs. 6.6% after 5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 type drives behavior: month-to-month users churn at 42.7% vs. 0% for two-year contract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Fiber optic internet + month-to-month contract is the most dangerous combination (70.2% churn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and tech support services are protective: users with both churn at 23.4% vs. 47.8% without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1,697 customers are at "Critical" risk (70%+ churn probability), representing $1.7M in revenue at stake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Data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1.1 Dataset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analysis uses the Telco Customer Churn dataset with the following characteristics: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7,043 unique customers with 21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variable: Churn (Yes/No), binary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include: demographics, account information, and subscribed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quality: 11 blank values in TotalCharges (cleaned during preprocessing)</w:t>
      </w:r>
    </w:p>
    <w:p>
      <w:pPr>
        <w:pStyle w:val="Heading2"/>
      </w:pPr>
      <w:r>
        <w:rPr>
          <w:rFonts w:ascii="Arial" w:cs="Arial" w:eastAsia="Arial" w:hAnsi="Arial"/>
        </w:rPr>
        <w:t xml:space="preserve">1.2 Churn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Overall, 26.5% of the customer base has churned. This is significantly above the telecommunications industry average of 15-22%, indicating a systemic retention problem.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5,174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73.5%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200"/>
      </w:pPr>
    </w:p>
    <w:p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1: Churn overview dashboard showing overall rate, contract breakdown, tenure curve, and top high-risk segments.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Root Cause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2.1 The First-Year Crisis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customers (0-12 months tenure) represent the highest churn risk. With 2,186 customers in this segment and a 47.4% churn rate, the first year is the critical battleground for retention.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2,186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47.4%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12-24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28.7%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24-36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36-48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48-60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60-72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6.6%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STABLE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Churn drops by approximately 15 percentage points after year 1, then decreases linearly to 6.6% by year 5+. The first 12 months are the make-or-break window.</w:t>
      </w:r>
    </w:p>
    <w:p>
      <w:pPr>
        <w:pStyle w:val="Heading2"/>
      </w:pPr>
      <w:r>
        <w:rPr>
          <w:rFonts w:ascii="Arial" w:cs="Arial" w:eastAsia="Arial" w:hAnsi="Arial"/>
        </w:rPr>
        <w:t xml:space="preserve">2.2 Contract Type: The Dominant Factor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Month-to-month contracts are the single largest churn driver. Among the 3,875 month-to-month users (55% of total customer base), 42.7% have churned. Conversely, two-year contract holders have a 0% churn rate among new customers.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Month-to-month users represent $1.93M in lost revenue — more than all other contract types combined.</w:t>
      </w:r>
    </w:p>
    <w:p>
      <w:pPr>
        <w:pStyle w:val="Heading2"/>
      </w:pPr>
      <w:r>
        <w:rPr>
          <w:rFonts w:ascii="Arial" w:cs="Arial" w:eastAsia="Arial" w:hAnsi="Arial"/>
        </w:rPr>
        <w:t xml:space="preserve">2.3 Service-Related Risk Factors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Analysis of service subscriptions reveals clear protective and risk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Churn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Fiber Optic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Highest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+22.5%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 TV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Increased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+16.0%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Online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Increased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+13.1%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Tech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Increased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+12.6%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Electronic Check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Increased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+14.5%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Increased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+20.4% vs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Security + Tech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Protective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-24.4% vs avg</w:t>
            </w:r>
          </w:p>
        </w:tc>
      </w:tr>
    </w:tbl>
    <w:p>
      <w:pPr>
        <w:spacing w:after="200"/>
      </w:pPr>
    </w:p>
    <w:p>
      <w:r>
        <w:drawing>
          <wp:inline distT="0" distB="0" distL="0" distR="0">
            <wp:extent cx="4762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2: New customer churn analysis showing contract type distribution, monthly charges comparison, service impact, and risk matrix.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Strategy Impact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identified three retention strategies and quantified their expected impact using our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1: Contract Conversion (MTM → 1-Year)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month-to-month users to annual contracts through targeted incentives and promotional pricing. Every percentage point of conversion reduces churn by approximately 0.3 percentage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20% of MTM users (775 customers): saves approximately 244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Converts churn rate from 42.7% to 36.4% for the MTM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Discount value vs. $1,164 average saved per retained customer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2: Security + Tech Support Bundle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Offer complimentary OnlineSecurity and TechSupport to the 2,689 MTM users who currently lack both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2,689 users with neither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impact: churn rate drops from 47.8% to 23.4%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Customers saved: approximately 655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revenue protected: $493,445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Service delivery (infrastructure already in place)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3: Payment Method Migration (eCheck → Auto-Pay)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Incentivize electronic check users to switch to automatic payment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1,850 eCheck users (current churn: 53.7%)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churn reduction: to 33.5% (auto-pay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Customers saved: approximately 374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 Saved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Security+Tech Support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2,689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~655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 (existing)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eCheck → Auto-Pay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~374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MTM → 1-Year Contract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775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~244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5,314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~1,273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37% churn reduction</w:t>
            </w:r>
          </w:p>
        </w:tc>
      </w:tr>
    </w:tbl>
    <w:p>
      <w:pPr>
        <w:spacing w:after="200"/>
      </w:pPr>
    </w:p>
    <w:p>
      <w:r>
        <w:drawing>
          <wp:inline distT="0" distB="0" distL="0" distR="0">
            <wp:extent cx="4762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3: Strategy impact analysis showing service adoption gaps, security bundle effects, contract conversion scenarios, and ROI comparison.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Churn Prediction Model</w:t>
      </w:r>
    </w:p>
    <w:p>
      <w:pPr>
        <w:pStyle w:val="Heading2"/>
      </w:pPr>
      <w:r>
        <w:rPr>
          <w:rFonts w:ascii="Arial" w:cs="Arial" w:eastAsia="Arial" w:hAnsi="Arial"/>
        </w:rPr>
        <w:t xml:space="preserve">4.1 Model Development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built a machine learning model to predict which customers are most likely to churn, enabling proactive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Algorithm: Logistic Regression with L1 regularization (selected for interpretability)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Features: 36 engineered features including tenure groups, service bundles, and risk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ROC-AUC: 0.848 — indicating excellent discriminative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Cross-validation: 5-fold CV AUC = 0.848 (±0.027), confirming model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 Recall: 78% — the model catches approximately 4 out of 5 customers who will churn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 optimized to 0.61 for maximum F1 score</w:t>
      </w:r>
    </w:p>
    <w:p>
      <w:pPr>
        <w:pStyle w:val="Heading2"/>
      </w:pPr>
      <w:r>
        <w:rPr>
          <w:rFonts w:ascii="Arial" w:cs="Arial" w:eastAsia="Arial" w:hAnsi="Arial"/>
        </w:rPr>
        <w:t xml:space="preserve">4.2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0.848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(Churn)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76.9%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Logistic Regression model was selected as the final model due to its superior interpretability and near-identical performance to more complex alternatives.</w:t>
      </w:r>
    </w:p>
    <w:p>
      <w:pPr>
        <w:pStyle w:val="Heading2"/>
      </w:pPr>
      <w:r>
        <w:rPr>
          <w:rFonts w:ascii="Arial" w:cs="Arial" w:eastAsia="Arial" w:hAnsi="Arial"/>
        </w:rPr>
        <w:t xml:space="preserve">4.3 Top Churn Drivers (Random Forest)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Charge Difference (current vs. historical)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Value Score (services/price ratio)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Price-Sensitive Flag (MTM + &gt;$70/mo)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Two-Year Contract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Tenure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High-Risk Flag (MTM+Fiber+eCheck)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Risk Tier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customer has been assigned a churn probability score and risk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Churn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(&lt;25%)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4.7%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(25-50%)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20.8%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(50-70%)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34.4%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(70%+)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63.0%</w:t>
            </w:r>
          </w:p>
        </w:tc>
      </w:tr>
    </w:tbl>
    <w:p>
      <w:pPr>
        <w:spacing w:after="200"/>
      </w:pPr>
    </w:p>
    <w:p>
      <w:r>
        <w:drawing>
          <wp:inline distT="0" distB="0" distL="0" distR="0">
            <wp:extent cx="4762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4: Model performance — ROC curves, confusion matrix, feature importance, and risk distribution.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Action Plan &amp; Recommendations</w:t>
      </w:r>
    </w:p>
    <w:p>
      <w:pPr>
        <w:pStyle w:val="Heading2"/>
      </w:pPr>
      <w:r>
        <w:rPr>
          <w:rFonts w:ascii="Arial" w:cs="Arial" w:eastAsia="Arial" w:hAnsi="Arial"/>
        </w:rPr>
        <w:t xml:space="preserve">5.1 Critical Customer Intervention (Immediate)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prioritized contact list of 1,697 critical-risk customers has been generated. The operational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P1 - Extreme (90%+)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CALL TODAY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P2 - Very High (80-90%)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641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Call This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P3 - High (70-80%)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Email Campaign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customer profile (average):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Tenure: 11.3 months (first-year crisis zone)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are on month-to-month contracts (99.5%)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81% use Fiber optic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72% pay via electronic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93% lack online security; 90% lack tech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monthly charge: $81.24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revenue at stake: $1.74M</w:t>
      </w:r>
    </w:p>
    <w:p>
      <w:pPr>
        <w:pStyle w:val="Heading2"/>
      </w:pPr>
      <w:r>
        <w:rPr>
          <w:rFonts w:ascii="Arial" w:cs="Arial" w:eastAsia="Arial" w:hAnsi="Arial"/>
        </w:rPr>
        <w:t xml:space="preserve">5.2 Targeted Retention Offers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Fiber + MTM Bundle (1,377 customers):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Offer: Switch to 1-year contract + complimentary security &amp; tech support for 3 months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Messaging: "Lock in your rate and get premium protection free"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conversion: 30-40% based on 10.5% churn rate of existing 1-year fiber users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Security Activation Campaign (1,425 customers):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Offer: Free 3-month OnlineSecurity + TechSupport trial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impact: reduces churn from 47.8% to approximately 30%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40% are expected to retain the service after trial period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Auto-Pay Incentive (1,216 customers):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Offer: $5/month discount for switching to automatic payment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impact: reduces churn from 53.7% to approximately 35%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offset: reduced payment processing costs</w:t>
      </w:r>
    </w:p>
    <w:p>
      <w:pPr>
        <w:pStyle w:val="Heading2"/>
      </w:pPr>
      <w:r>
        <w:rPr>
          <w:rFonts w:ascii="Arial" w:cs="Arial" w:eastAsia="Arial" w:hAnsi="Arial"/>
        </w:rPr>
        <w:t xml:space="preserve">5.3 Long-Term Strategic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Revamp onboarding to offer 1-year contracts as the default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security services with new Fiber optic installations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automated churn risk alerts for customer success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quarterly model updates with fresh data to track trend shifts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price-band analysis to identify optimal pricing for fiber service</w:t>
      </w:r>
    </w:p>
    <w:p>
      <w:pPr>
        <w:spacing w:after="200"/>
      </w:pPr>
    </w:p>
    <w:p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5: Model optimization results — feature comparison, threshold tuning, and final risk distribution.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Methodology</w:t>
      </w:r>
    </w:p>
    <w:p>
      <w:pPr>
        <w:pStyle w:val="Heading2"/>
      </w:pPr>
      <w:r>
        <w:rPr>
          <w:rFonts w:ascii="Arial" w:cs="Arial" w:eastAsia="Arial" w:hAnsi="Arial"/>
        </w:rPr>
        <w:t xml:space="preserve">Tools &amp;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3.9 with pandas, scikit-learn,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Logistic Regression (L1 regularization, C=10, class_weight=balanced)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Random Forest (max_depth=8, min_samples_leaf=10, n_estimators=100)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Gradient Boosting (n_estimators=150, max_depth=5)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5-fold cross-validation for hyperparameter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 optimization via F1-score maximization on precision-recall curve</w:t>
      </w:r>
    </w:p>
    <w:p>
      <w:pPr>
        <w:pStyle w:val="Heading2"/>
      </w:pPr>
      <w:r>
        <w:rPr>
          <w:rFonts w:ascii="Arial" w:cs="Arial" w:eastAsia="Arial" w:hAnsi="Arial"/>
        </w:rPr>
        <w:t xml:space="preserve">Key Metrics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ROC-AUC: Probability that a randomly chosen churner ranks higher than a non-churner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Recall: Percentage of actual churners correctly identified by the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Precision: Percentage of predicted churners who actually churned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F1 Score: Harmonic mean of precision and recall</w:t>
      </w:r>
    </w:p>
    <w:p>
      <w:pPr>
        <w:pStyle w:val="Heading2"/>
      </w:pPr>
      <w:r>
        <w:rPr>
          <w:rFonts w:ascii="Arial" w:cs="Arial" w:eastAsia="Arial" w:hAnsi="Arial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is a snapshot; model should be retrained quarterly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Causal relationships should be validated through A/B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impact estimates are based on observational data, not controlled experiments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competitive intelligence data available; external factors may influence churn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Customer Churn Analysis Report | June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65a95a2e9ebacaf860c5131cf6823d06b08961.png"/><Relationship Id="rId10" Type="http://schemas.openxmlformats.org/officeDocument/2006/relationships/image" Target="media/4f2032021d2671991f2de231d645c716d0acdb0a.png"/><Relationship Id="rId11" Type="http://schemas.openxmlformats.org/officeDocument/2006/relationships/image" Target="media/5e5a906c2247699f1b3e1e784695b2deaea2da2b.png"/><Relationship Id="rId12" Type="http://schemas.openxmlformats.org/officeDocument/2006/relationships/image" Target="media/be70d4faf1793b675d2cf75e4361747e8f9fb592.png"/><Relationship Id="rId13" Type="http://schemas.openxmlformats.org/officeDocument/2006/relationships/image" Target="media/3acdac8f1fa063f20005ec276ab3428b42f6c1d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2026-06-08T09:15:22.462Z</dcterms:created>
  <dcterms:modified xsi:type="dcterms:W3CDTF">2026-06-08T09:15:22.463Z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