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ResNet-50 Tabanlı Derin Öğrenme Modeli Raporu</w:t>
      </w:r>
    </w:p>
    <w:p>
      <w:pPr>
        <w:pStyle w:val="Heading2"/>
      </w:pPr>
      <w:r>
        <w:t>1. Giriş</w:t>
      </w:r>
    </w:p>
    <w:p>
      <w:r>
        <w:t>Bu rapor, beyin tümörü tespiti amacıyla kullanılan ResNet-50 tabanlı transfer öğrenme modeli üzerine yapılan çalışmaları özetlemektedir. Model, önceden eğitilmiş ResNet-50 mimarisi üzerine inşa edilerek, son katmanları yeniden yapılandırılmış ve yeni verisetine uyarlanmıştır.</w:t>
      </w:r>
    </w:p>
    <w:p>
      <w:pPr>
        <w:pStyle w:val="Heading2"/>
      </w:pPr>
      <w:r>
        <w:t>2. Veri Seti</w:t>
      </w:r>
    </w:p>
    <w:p>
      <w:r>
        <w:t>Kullanılan veri seti, iki sınıfa ayrılmış beyin tümörü görüntülerinden oluşmaktadır: tümör var ('yes') ve tümör yok ('no'). Veri seti %70 eğitim, %15 doğrulama ve %15 test olarak bölünmüştür. Görüntülerin giriş boyutu ResNet-50'nin gereksinimlerine uygun olarak 224x224 piksel ve 3 kanallı (RGB) olacak şekilde yeniden boyutlandırılmıştır.</w:t>
      </w:r>
    </w:p>
    <w:p>
      <w:pPr>
        <w:pStyle w:val="Heading2"/>
      </w:pPr>
      <w:r>
        <w:t>3. Model Mimarisi ve Eğitimi</w:t>
      </w:r>
    </w:p>
    <w:p>
      <w:r>
        <w:t>Model, ResNet-50’nin önceden eğitilmiş ağı temel alınarak oluşturulmuştur. Aşağıdaki düzenlemeler yapılmıştır:</w:t>
        <w:br/>
        <w:t>- 'fc1000', 'fc1000_softmax' ve 'ClassificationLayer_fc1000' katmanları kaldırılmıştır.</w:t>
        <w:br/>
        <w:t>- Yerine: yeni fullyConnectedLayer, softmaxLayer ve classificationLayer eklenmiştir.</w:t>
        <w:br/>
        <w:t>- Yeni katmanlar 'avg_pool' katmanına bağlanmıştır.</w:t>
        <w:br/>
        <w:t>- Eğitim sürecinde 'adam' optimizer, başlangıç öğrenme oranı 3e-4, epoch sayısı 20 olarak belirlenmiştir.</w:t>
        <w:br/>
        <w:t>- Learning rate scheduler: Piecewise, düzenli olarak düşürülmüştür.</w:t>
      </w:r>
    </w:p>
    <w:p>
      <w:pPr>
        <w:pStyle w:val="Heading2"/>
      </w:pPr>
      <w:r>
        <w:t>4. Eğitim Sonuçları</w:t>
      </w:r>
    </w:p>
    <w:p>
      <w:r>
        <w:t>Model, eğitim seti üzerinde yaklaşık %100 eğitim doğruluğuna ulaşmış, doğrulama seti üzerinde en iyi %92.11 doğruluk elde edilmiştir. Model, epoch 20 sonunda tamamlanmıştır ve overfitting belirtileri gözlemlenmemiştir.</w:t>
      </w:r>
    </w:p>
    <w:p>
      <w:pPr>
        <w:pStyle w:val="Heading2"/>
      </w:pPr>
      <w:r>
        <w:t>5. Test Sonuçları</w:t>
      </w:r>
    </w:p>
    <w:p>
      <w:r>
        <w:t>Model, test verisi üzerinde %86.48 doğruluk sağlamıştır. Karışıklık matrisi şu şekildedir:</w:t>
        <w:br/>
        <w:br/>
        <w:t>- True Positive (TP): 19</w:t>
        <w:br/>
        <w:t>- True Negative (TN): 13</w:t>
        <w:br/>
        <w:t>- False Positive (FP): 1</w:t>
        <w:br/>
        <w:t>- False Negative (FN): 4</w:t>
        <w:br/>
        <w:br/>
        <w:t>Model, özellikle tümör sınıfında başarılı sonuçlar vermektedir ancak negatif sınıflarda birkaç hata yapmıştır.</w:t>
      </w:r>
    </w:p>
    <w:p>
      <w:pPr>
        <w:pStyle w:val="Heading2"/>
      </w:pPr>
      <w:r>
        <w:t>6. Değerlendirme ve Gelecek Çalışmalar</w:t>
      </w:r>
    </w:p>
    <w:p>
      <w:r>
        <w:t>Model genel olarak başarılı performans göstermektedir. Ancak, doğruluğun daha da artırılması için aşağıdaki adımlar uygulanabilir:</w:t>
        <w:br/>
        <w:t>- Daha güçlü veri artırma (augmentation) stratejileri kullanmak,</w:t>
        <w:br/>
        <w:t>- Dropout oranlarını veya fully connected layer yapısını değiştirmek,</w:t>
        <w:br/>
        <w:t>- Epoch sayısını yeniden optimize etmek veya early stopping uygulamak,</w:t>
        <w:br/>
        <w:t>- Ensemble modeller ile farklı mimarilerin çıktıları birleştirilerek doğruluk artırılabilir.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