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B86" w:rsidRPr="00523B86" w:rsidRDefault="00523B86" w:rsidP="00523B86">
      <w:pPr>
        <w:widowControl/>
        <w:spacing w:before="60" w:after="60"/>
        <w:jc w:val="left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36"/>
          <w:sz w:val="48"/>
          <w:szCs w:val="48"/>
        </w:rPr>
        <w:t>AI投资风险评价 App 前端设计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您好，根据您对AI风险评价App的功能需求以及我们对话历史中提炼的投资策略和风险管理原则，以下是该App前端设计（UI/UX）的建议架构。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此设计旨在确保用户能够高效输入数据，系统能在后台进行“自上而下”的分析，并将复杂的周期判断、技术分析和情绪控制理念转化为清晰、可操作的风险评价结果。</w:t>
      </w:r>
    </w:p>
    <w:p w:rsidR="00523B86" w:rsidRPr="00523B86" w:rsidRDefault="00523B86" w:rsidP="00523B86">
      <w:pPr>
        <w:widowControl/>
        <w:pBdr>
          <w:bottom w:val="single" w:sz="8" w:space="0" w:color="000000"/>
        </w:pBdr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 </w:t>
      </w:r>
    </w:p>
    <w:p w:rsidR="00523B86" w:rsidRPr="00523B86" w:rsidRDefault="00523B86" w:rsidP="00523B86">
      <w:pPr>
        <w:widowControl/>
        <w:spacing w:before="60" w:after="60"/>
        <w:outlineLvl w:val="1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32"/>
          <w:szCs w:val="32"/>
        </w:rPr>
        <w:t>AI投资风险评价 App 前端设计建议</w:t>
      </w:r>
    </w:p>
    <w:p w:rsidR="00523B86" w:rsidRPr="00523B86" w:rsidRDefault="00523B86" w:rsidP="00523B86">
      <w:pPr>
        <w:widowControl/>
        <w:spacing w:before="60" w:after="60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8"/>
          <w:szCs w:val="28"/>
        </w:rPr>
        <w:t>1. 首页/输入页：标的定义与数据录入 (Asset Definition &amp; Data Entry)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设计目标：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快速、清晰地收集投资标的、市场信息、操作意图，并支持多源数据输入。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2292"/>
        <w:gridCol w:w="1740"/>
      </w:tblGrid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CBCDD1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区域</w:t>
            </w:r>
          </w:p>
        </w:tc>
        <w:tc>
          <w:tcPr>
            <w:tcW w:w="201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控件/元素</w:t>
            </w:r>
          </w:p>
        </w:tc>
        <w:tc>
          <w:tcPr>
            <w:tcW w:w="174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来源/目的关联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顶部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搜索栏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核心输入，支持文本（代码/名称）或数字输入。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输入项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标的类型选择 (Segmented Control)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股票、股指、国债、基金、贵金属、BTC、衍生品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lastRenderedPageBreak/>
              <w:t>（期权/期货） [输入项]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Microsoft YaHei" w:eastAsia="Microsoft YaHei" w:hAnsi="Microsoft YaHei" w:cs="宋体" w:hint="eastAsia"/>
                <w:color w:val="333333"/>
                <w:kern w:val="0"/>
                <w:sz w:val="22"/>
                <w:szCs w:val="22"/>
              </w:rPr>
              <w:lastRenderedPageBreak/>
              <w:t> 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市场与货币选择 (Dropdown/Picker)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美国、香港、中国、日股；美元、港币、人民币等。 [输入项]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Microsoft YaHei" w:eastAsia="Microsoft YaHei" w:hAnsi="Microsoft YaHei" w:cs="宋体" w:hint="eastAsia"/>
                <w:color w:val="333333"/>
                <w:kern w:val="0"/>
                <w:sz w:val="22"/>
                <w:szCs w:val="22"/>
              </w:rPr>
              <w:t> 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操作意图 (Button Group)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买入 / 卖出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（大图标或彩色按钮）。 [输入项]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数据采集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图片识别/上传按钮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允许用户上传截图或图片，系统调用AI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识别图片中的市价、K线图、KDJ、RSI等指标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。 [指标]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Microsoft YaHei" w:eastAsia="Microsoft YaHei" w:hAnsi="Microsoft YaHei" w:cs="宋体" w:hint="eastAsia"/>
                <w:color w:val="333333"/>
                <w:kern w:val="0"/>
                <w:sz w:val="22"/>
                <w:szCs w:val="22"/>
              </w:rPr>
              <w:t> 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“在线取数”确认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提示系统将自动抓取实时数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lastRenderedPageBreak/>
              <w:t>据和历史数据进行计算。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CBCDD1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底部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“开始风评” 主按钮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引导用户进入评价流程。</w:t>
            </w:r>
          </w:p>
        </w:tc>
      </w:tr>
    </w:tbl>
    <w:p w:rsidR="00523B86" w:rsidRPr="00523B86" w:rsidRDefault="00523B86" w:rsidP="00523B86">
      <w:pPr>
        <w:widowControl/>
        <w:pBdr>
          <w:bottom w:val="single" w:sz="8" w:space="0" w:color="000000"/>
        </w:pBdr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 </w:t>
      </w:r>
    </w:p>
    <w:p w:rsidR="00523B86" w:rsidRPr="00523B86" w:rsidRDefault="00523B86" w:rsidP="00523B86">
      <w:pPr>
        <w:widowControl/>
        <w:spacing w:before="60" w:after="60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7"/>
          <w:szCs w:val="27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8"/>
          <w:szCs w:val="28"/>
        </w:rPr>
        <w:t>2. 评价设置页：模型配置与宏观关联 (Evaluation Settings)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设计目标：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确认模型选择，并提醒用户将个股分析与宏观环境关联，贯彻“自上而下”的策略。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131"/>
        <w:gridCol w:w="2895"/>
      </w:tblGrid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CBCDD1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区域</w:t>
            </w:r>
          </w:p>
        </w:tc>
        <w:tc>
          <w:tcPr>
            <w:tcW w:w="85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控件/元素</w:t>
            </w:r>
          </w:p>
        </w:tc>
        <w:tc>
          <w:tcPr>
            <w:tcW w:w="289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目的关联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输入摘要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确认卡片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再次显示用户在第一步输入的标的、市场和操作意图。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模型配置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模型适配确认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提示：系统已自动根据标的类别（例如：股票/股指）适配相应的内部模型。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Microsoft YaHei" w:eastAsia="Microsoft YaHei" w:hAnsi="Microsoft YaHei" w:cs="宋体" w:hint="eastAsia"/>
                <w:color w:val="333333"/>
                <w:kern w:val="0"/>
                <w:sz w:val="22"/>
                <w:szCs w:val="22"/>
              </w:rPr>
              <w:t> 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宏观经济关联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开关 (Toggle)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“是否关联宏观经济模型？”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（默认开启）。 [后台运行] 强调必须了解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lastRenderedPageBreak/>
              <w:t>宏观环境，它提供投资市场风险水平所需的信息,。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Microsoft YaHei" w:eastAsia="Microsoft YaHei" w:hAnsi="Microsoft YaHei" w:cs="宋体" w:hint="eastAsia"/>
                <w:color w:val="333333"/>
                <w:kern w:val="0"/>
                <w:sz w:val="22"/>
                <w:szCs w:val="22"/>
              </w:rPr>
              <w:lastRenderedPageBreak/>
              <w:t> 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宏观数据收集提示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提示系统正在根据对应市场收集近一年和本年各个月的利率、通胀、M2等关键经济数据 [后台运行]。</w:t>
            </w:r>
          </w:p>
        </w:tc>
      </w:tr>
      <w:tr w:rsidR="00523B86" w:rsidRPr="00523B86" w:rsidTr="00523B86">
        <w:trPr>
          <w:trHeight w:val="405"/>
        </w:trPr>
        <w:tc>
          <w:tcPr>
            <w:tcW w:w="270" w:type="dxa"/>
            <w:tcBorders>
              <w:top w:val="single" w:sz="2" w:space="0" w:color="000000"/>
              <w:left w:val="single" w:sz="2" w:space="0" w:color="CBCDD1"/>
              <w:bottom w:val="single" w:sz="2" w:space="0" w:color="CBCDD1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底部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“运行评价” 按钮</w:t>
            </w:r>
          </w:p>
        </w:tc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触发后台模型计算。</w:t>
            </w:r>
          </w:p>
        </w:tc>
      </w:tr>
    </w:tbl>
    <w:p w:rsidR="00523B86" w:rsidRPr="00523B86" w:rsidRDefault="00523B86" w:rsidP="00523B86">
      <w:pPr>
        <w:widowControl/>
        <w:pBdr>
          <w:bottom w:val="single" w:sz="8" w:space="0" w:color="000000"/>
        </w:pBdr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 </w:t>
      </w:r>
    </w:p>
    <w:p w:rsidR="00523B86" w:rsidRPr="00523B86" w:rsidRDefault="00523B86" w:rsidP="00523B86">
      <w:pPr>
        <w:widowControl/>
        <w:spacing w:before="60" w:after="60"/>
        <w:outlineLvl w:val="2"/>
        <w:rPr>
          <w:rFonts w:ascii="宋体" w:eastAsia="宋体" w:hAnsi="宋体" w:cs="宋体" w:hint="eastAsia"/>
          <w:b/>
          <w:bCs/>
          <w:color w:val="000000"/>
          <w:kern w:val="0"/>
          <w:sz w:val="27"/>
          <w:szCs w:val="27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8"/>
          <w:szCs w:val="28"/>
        </w:rPr>
        <w:t>3. 风险评价结果页：结论、评分与分析 (Risk Evaluation Output)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设计目标：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清晰展示结论，通过分数细项解释风险来源，并融入纪律性投资的提醒。</w:t>
      </w:r>
    </w:p>
    <w:p w:rsidR="00523B86" w:rsidRPr="00523B86" w:rsidRDefault="00523B86" w:rsidP="00523B86">
      <w:pPr>
        <w:widowControl/>
        <w:spacing w:before="60" w:after="60"/>
        <w:outlineLvl w:val="3"/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4"/>
        </w:rPr>
        <w:t>A. 结论与摘要区域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Times New Roman" w:eastAsia="DengXian" w:hAnsi="Times New Roman" w:cs="Times New Roman"/>
          <w:color w:val="333333"/>
          <w:kern w:val="0"/>
          <w:sz w:val="22"/>
          <w:szCs w:val="22"/>
        </w:rPr>
        <w:t>●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结论 (大号字体，颜色区分):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明确给出 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建议买入 / 建议卖出 / 建议持有 / 不建议买入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[输出]。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Times New Roman" w:eastAsia="DengXian" w:hAnsi="Times New Roman" w:cs="Times New Roman"/>
          <w:color w:val="333333"/>
          <w:kern w:val="0"/>
          <w:sz w:val="22"/>
          <w:szCs w:val="22"/>
        </w:rPr>
        <w:t>●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总分：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醒目显示 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[X] 分 (满分 100 分)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Times New Roman" w:eastAsia="DengXian" w:hAnsi="Times New Roman" w:cs="Times New Roman"/>
          <w:color w:val="333333"/>
          <w:kern w:val="0"/>
          <w:sz w:val="22"/>
          <w:szCs w:val="22"/>
        </w:rPr>
        <w:t>●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风险提示：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强调投资没有捷径可走，需要付出艰苦努力。</w:t>
      </w:r>
    </w:p>
    <w:p w:rsidR="00523B86" w:rsidRPr="00523B86" w:rsidRDefault="00523B86" w:rsidP="00523B86">
      <w:pPr>
        <w:widowControl/>
        <w:spacing w:before="60" w:after="60"/>
        <w:outlineLvl w:val="3"/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4"/>
        </w:rPr>
        <w:t>B. 分项得分及拆分显示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采用雷达图或条形图展示以下三大维度的得分，并提供文字解读：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696"/>
        <w:gridCol w:w="2385"/>
      </w:tblGrid>
      <w:tr w:rsidR="00523B86" w:rsidRPr="00523B86" w:rsidTr="00523B86">
        <w:trPr>
          <w:trHeight w:val="405"/>
        </w:trPr>
        <w:tc>
          <w:tcPr>
            <w:tcW w:w="1125" w:type="dxa"/>
            <w:tcBorders>
              <w:top w:val="single" w:sz="2" w:space="0" w:color="CBCDD1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维度</w:t>
            </w:r>
          </w:p>
        </w:tc>
        <w:tc>
          <w:tcPr>
            <w:tcW w:w="510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得分权重（示例）</w:t>
            </w:r>
          </w:p>
        </w:tc>
        <w:tc>
          <w:tcPr>
            <w:tcW w:w="2385" w:type="dxa"/>
            <w:tcBorders>
              <w:top w:val="single" w:sz="2" w:space="0" w:color="CBCDD1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分析来源/意义</w:t>
            </w:r>
          </w:p>
        </w:tc>
      </w:tr>
      <w:tr w:rsidR="00523B86" w:rsidRPr="00523B86" w:rsidTr="00523B86">
        <w:trPr>
          <w:trHeight w:val="405"/>
        </w:trPr>
        <w:tc>
          <w:tcPr>
            <w:tcW w:w="1125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1. 宏观周期与板块强度分 (Macro &amp; Sector Score)</w:t>
            </w:r>
          </w:p>
        </w:tc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35%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周期判断：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判断当前处于股市哪个阶段（第一、二、三阶段）,。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板块分析：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标的是否处于表现强势的板块。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企业认知：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企业（标的）对宏观环境的了解和适应程度。</w:t>
            </w:r>
          </w:p>
        </w:tc>
      </w:tr>
      <w:tr w:rsidR="00523B86" w:rsidRPr="00523B86" w:rsidTr="00523B86">
        <w:trPr>
          <w:trHeight w:val="405"/>
        </w:trPr>
        <w:tc>
          <w:tcPr>
            <w:tcW w:w="1125" w:type="dxa"/>
            <w:tcBorders>
              <w:top w:val="single" w:sz="2" w:space="0" w:color="000000"/>
              <w:left w:val="single" w:sz="2" w:space="0" w:color="CBCDD1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2. 技术走势与买卖信号分 (Technical Score)</w:t>
            </w:r>
          </w:p>
        </w:tc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45%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走势状态：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评估标的走势是否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跑赢大盘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（有跑赢市场的潜力）,。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波动性：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观察K线，波动幅度是否平滑，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波动最小化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是合理目标,。</w:t>
            </w: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成交量：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评估是否出现“放量上涨、成交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lastRenderedPageBreak/>
              <w:t>量萎缩”或“放量突破”的买入信号，或“下跌成交量超过平均水平”的强烈下跌信号。</w:t>
            </w:r>
          </w:p>
        </w:tc>
      </w:tr>
      <w:tr w:rsidR="00523B86" w:rsidRPr="00523B86" w:rsidTr="00523B86">
        <w:trPr>
          <w:trHeight w:val="405"/>
        </w:trPr>
        <w:tc>
          <w:tcPr>
            <w:tcW w:w="1125" w:type="dxa"/>
            <w:tcBorders>
              <w:top w:val="single" w:sz="2" w:space="0" w:color="000000"/>
              <w:left w:val="single" w:sz="2" w:space="0" w:color="CBCDD1"/>
              <w:bottom w:val="single" w:sz="2" w:space="0" w:color="CBCDD1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lastRenderedPageBreak/>
              <w:t>3. 情绪与风险管理分 (Discipline Score)</w:t>
            </w:r>
          </w:p>
        </w:tc>
        <w:tc>
          <w:tcPr>
            <w:tcW w:w="510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>20%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CBCDD1"/>
              <w:right w:val="single" w:sz="2" w:space="0" w:color="CBCDD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23B86" w:rsidRPr="00523B86" w:rsidRDefault="00523B86" w:rsidP="00523B86">
            <w:pPr>
              <w:widowControl/>
              <w:jc w:val="left"/>
              <w:rPr>
                <w:rFonts w:ascii="DengXian" w:eastAsia="DengXian" w:hAnsi="DengXian" w:cs="宋体" w:hint="eastAsia"/>
                <w:kern w:val="0"/>
                <w:sz w:val="24"/>
              </w:rPr>
            </w:pPr>
            <w:r w:rsidRPr="00523B86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4"/>
              </w:rPr>
              <w:t>基于纪律性策略的风险评估。</w:t>
            </w:r>
            <w:r w:rsidRPr="00523B86">
              <w:rPr>
                <w:rFonts w:ascii="DengXian" w:eastAsia="DengXian" w:hAnsi="DengXian" w:cs="宋体" w:hint="eastAsia"/>
                <w:color w:val="000000"/>
                <w:kern w:val="0"/>
                <w:sz w:val="24"/>
              </w:rPr>
              <w:t xml:space="preserve"> 例如：如果标的跑输大盘，则此项扣分，提醒投资者应“逐步减少手中头寸”。</w:t>
            </w:r>
          </w:p>
        </w:tc>
      </w:tr>
    </w:tbl>
    <w:p w:rsidR="00523B86" w:rsidRPr="00523B86" w:rsidRDefault="00523B86" w:rsidP="00523B86">
      <w:pPr>
        <w:widowControl/>
        <w:spacing w:before="60" w:after="60"/>
        <w:outlineLvl w:val="3"/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4"/>
        </w:rPr>
        <w:t>C. 文字说明与图表展示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1. 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文字说明 (详细解读):</w:t>
      </w:r>
    </w:p>
    <w:p w:rsidR="00523B86" w:rsidRPr="00523B86" w:rsidRDefault="00523B86" w:rsidP="00523B86">
      <w:pPr>
        <w:widowControl/>
        <w:spacing w:before="60" w:after="60"/>
        <w:ind w:left="846" w:hanging="336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a.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当前宏观研判：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描述宏观指标（利率、通胀等）当前的状态，并说明系统据此判断当前应采取**“慢慢买”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还是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“慢慢卖”**策略,。</w:t>
      </w:r>
    </w:p>
    <w:p w:rsidR="00523B86" w:rsidRPr="00523B86" w:rsidRDefault="00523B86" w:rsidP="00523B86">
      <w:pPr>
        <w:widowControl/>
        <w:spacing w:before="60" w:after="60"/>
        <w:ind w:left="846" w:hanging="336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b.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标的强度分析：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说明该标的相对于大盘的走势，以及它被选中的理由（例如，它是强势板块的领涨股）,。</w:t>
      </w:r>
    </w:p>
    <w:p w:rsidR="00523B86" w:rsidRPr="00523B86" w:rsidRDefault="00523B86" w:rsidP="00523B86">
      <w:pPr>
        <w:widowControl/>
        <w:spacing w:before="60" w:after="60"/>
        <w:ind w:left="846" w:hanging="336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c.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买卖时机解读：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结合指标（KDJ/RSI/成交量）说明当前的超买/超卖状态和背离情况。</w:t>
      </w:r>
    </w:p>
    <w:p w:rsidR="00523B86" w:rsidRPr="00523B86" w:rsidRDefault="00523B86" w:rsidP="00523B86">
      <w:pPr>
        <w:widowControl/>
        <w:spacing w:before="60" w:after="60"/>
        <w:ind w:left="846" w:hanging="336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d.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风险警示：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强调情绪控制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。提醒用户如果市场走势与预期背离，必须马上做出相应的决定，而不是犹豫不决。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lastRenderedPageBreak/>
        <w:t>2. 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图表展示：</w:t>
      </w:r>
    </w:p>
    <w:p w:rsidR="00523B86" w:rsidRPr="00523B86" w:rsidRDefault="00523B86" w:rsidP="00523B86">
      <w:pPr>
        <w:widowControl/>
        <w:spacing w:before="60" w:after="60"/>
        <w:ind w:left="846" w:hanging="336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a.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K线图：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显示日线、60、30、15分钟K线图，并叠加KDJ、RSI、交易量等指标，将系统识别出的买入/卖出信号在图上进行标注（例如：用箭头标记放量突破点） [指标]。</w:t>
      </w:r>
    </w:p>
    <w:p w:rsidR="00523B86" w:rsidRPr="00523B86" w:rsidRDefault="00523B86" w:rsidP="00523B86">
      <w:pPr>
        <w:widowControl/>
        <w:spacing w:before="60" w:after="60"/>
        <w:ind w:left="846" w:hanging="336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b. </w:t>
      </w:r>
      <w:r w:rsidRPr="00523B86">
        <w:rPr>
          <w:rFonts w:ascii="DengXian" w:eastAsia="DengXian" w:hAnsi="DengXian" w:cs="宋体" w:hint="eastAsia"/>
          <w:color w:val="000000"/>
          <w:kern w:val="0"/>
          <w:sz w:val="24"/>
        </w:rPr>
        <w:t>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宏观周期仪表盘：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简化展示当前经济周期与股市周期的位置。</w:t>
      </w:r>
    </w:p>
    <w:p w:rsidR="00523B86" w:rsidRPr="00523B86" w:rsidRDefault="00523B86" w:rsidP="00523B86">
      <w:pPr>
        <w:widowControl/>
        <w:spacing w:before="60" w:after="60"/>
        <w:outlineLvl w:val="3"/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4"/>
        </w:rPr>
        <w:t>D. 执行确认弹窗 (情绪控制机制)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当用户点击“建议买入”或“建议卖出”的最终按钮时，必须弹出一个强制确认窗口，以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防止头脑一热完成交易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Times New Roman" w:eastAsia="DengXian" w:hAnsi="Times New Roman" w:cs="Times New Roman"/>
          <w:color w:val="333333"/>
          <w:kern w:val="0"/>
          <w:sz w:val="22"/>
          <w:szCs w:val="22"/>
        </w:rPr>
        <w:t>●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弹窗标题：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严谨自律的执行提示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Times New Roman" w:eastAsia="DengXian" w:hAnsi="Times New Roman" w:cs="Times New Roman"/>
          <w:color w:val="333333"/>
          <w:kern w:val="0"/>
          <w:sz w:val="22"/>
          <w:szCs w:val="22"/>
        </w:rPr>
        <w:t>●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核心内容：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“控制情绪的唯一办法是三思而后行。成熟投资者与一般散户的分水岭在于他们会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分批买入或卖出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。请确认您的操作是否将采取分批执行？”,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Times New Roman" w:eastAsia="DengXian" w:hAnsi="Times New Roman" w:cs="Times New Roman"/>
          <w:color w:val="333333"/>
          <w:kern w:val="0"/>
          <w:sz w:val="22"/>
          <w:szCs w:val="22"/>
        </w:rPr>
        <w:t>● 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选项：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“分批执行”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(推荐，绿色) / 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“一次性执行”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 xml:space="preserve"> (提示风险，灰色)。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此设计将投资组合视为“积累财富的工具”，并通过严谨的流程，帮助用户提高胜率，进行</w:t>
      </w:r>
      <w:r w:rsidRPr="00523B86">
        <w:rPr>
          <w:rFonts w:ascii="Microsoft YaHei" w:eastAsia="Microsoft YaHei" w:hAnsi="Microsoft YaHei" w:cs="宋体" w:hint="eastAsia"/>
          <w:b/>
          <w:bCs/>
          <w:color w:val="000000"/>
          <w:kern w:val="0"/>
          <w:sz w:val="22"/>
          <w:szCs w:val="22"/>
        </w:rPr>
        <w:t>严谨自律的执行</w:t>
      </w:r>
      <w:r w:rsidRPr="00523B86">
        <w:rPr>
          <w:rFonts w:ascii="Microsoft YaHei" w:eastAsia="Microsoft YaHei" w:hAnsi="Microsoft YaHei" w:cs="宋体" w:hint="eastAsia"/>
          <w:color w:val="000000"/>
          <w:kern w:val="0"/>
          <w:sz w:val="22"/>
          <w:szCs w:val="22"/>
        </w:rPr>
        <w:t>,。</w:t>
      </w:r>
    </w:p>
    <w:p w:rsidR="00523B86" w:rsidRPr="00523B86" w:rsidRDefault="00523B86" w:rsidP="00523B86">
      <w:pPr>
        <w:widowControl/>
        <w:spacing w:before="60" w:after="60"/>
        <w:rPr>
          <w:rFonts w:ascii="DengXian" w:eastAsia="DengXian" w:hAnsi="DengXian" w:cs="宋体" w:hint="eastAsia"/>
          <w:color w:val="000000"/>
          <w:kern w:val="0"/>
          <w:sz w:val="24"/>
        </w:rPr>
      </w:pPr>
      <w:r w:rsidRPr="00523B86">
        <w:rPr>
          <w:rFonts w:ascii="Microsoft YaHei" w:eastAsia="Microsoft YaHei" w:hAnsi="Microsoft YaHei" w:cs="宋体" w:hint="eastAsia"/>
          <w:color w:val="333333"/>
          <w:kern w:val="0"/>
          <w:sz w:val="22"/>
          <w:szCs w:val="22"/>
        </w:rPr>
        <w:t> </w:t>
      </w:r>
    </w:p>
    <w:p w:rsidR="00523B86" w:rsidRPr="00523B86" w:rsidRDefault="00523B86"/>
    <w:sectPr w:rsidR="00523B86" w:rsidRPr="00523B86" w:rsidSect="005202D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86"/>
    <w:rsid w:val="00212DE3"/>
    <w:rsid w:val="004E4C14"/>
    <w:rsid w:val="005102B9"/>
    <w:rsid w:val="005202D3"/>
    <w:rsid w:val="00523B86"/>
    <w:rsid w:val="006720BE"/>
    <w:rsid w:val="008736A1"/>
    <w:rsid w:val="00BE229F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32CE6"/>
  <w15:chartTrackingRefBased/>
  <w15:docId w15:val="{6C18A9AE-7D9E-C244-B3F9-0F9FC10E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3B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23B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3B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B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B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B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B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B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B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2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23B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B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B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B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B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B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B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B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B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B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B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B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B8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523B8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523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5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2025-12-10T05:42:00Z</dcterms:created>
  <dcterms:modified xsi:type="dcterms:W3CDTF">2025-12-10T05:43:00Z</dcterms:modified>
</cp:coreProperties>
</file>