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基于 </w:t>
      </w:r>
      <w:r w:rsidRPr="00DF0AED">
        <w:rPr>
          <w:rFonts w:ascii="宋体" w:eastAsia="宋体" w:hAnsi="宋体" w:cs="宋体"/>
          <w:b/>
          <w:bCs/>
          <w:kern w:val="0"/>
          <w:sz w:val="24"/>
        </w:rPr>
        <w:t xml:space="preserve">George </w:t>
      </w:r>
      <w:proofErr w:type="spellStart"/>
      <w:r w:rsidRPr="00DF0AED">
        <w:rPr>
          <w:rFonts w:ascii="宋体" w:eastAsia="宋体" w:hAnsi="宋体" w:cs="宋体"/>
          <w:b/>
          <w:bCs/>
          <w:kern w:val="0"/>
          <w:sz w:val="24"/>
        </w:rPr>
        <w:t>Dagnino</w:t>
      </w:r>
      <w:proofErr w:type="spellEnd"/>
      <w:r w:rsidRPr="00DF0AED">
        <w:rPr>
          <w:rFonts w:ascii="宋体" w:eastAsia="宋体" w:hAnsi="宋体" w:cs="宋体"/>
          <w:b/>
          <w:bCs/>
          <w:kern w:val="0"/>
          <w:sz w:val="24"/>
        </w:rPr>
        <w:t xml:space="preserve"> 博士的“自上而下周期模型（Top-Down Cycle Model）”</w:t>
      </w:r>
      <w:r w:rsidRPr="00DF0AED">
        <w:rPr>
          <w:rFonts w:ascii="宋体" w:eastAsia="宋体" w:hAnsi="宋体" w:cs="宋体"/>
          <w:kern w:val="0"/>
          <w:sz w:val="24"/>
        </w:rPr>
        <w:t xml:space="preserve"> 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模型目标：</w:t>
      </w:r>
    </w:p>
    <w:p w:rsidR="00DF0AED" w:rsidRPr="00DF0AED" w:rsidRDefault="00DF0AED" w:rsidP="00DF0AED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32"/>
          <w:szCs w:val="32"/>
        </w:rPr>
      </w:pPr>
      <w:r w:rsidRPr="00DF0AED">
        <w:rPr>
          <w:rFonts w:ascii=".AppleSystemUIFont" w:eastAsia="宋体" w:hAnsi=".AppleSystemUIFont" w:cs="宋体"/>
          <w:b/>
          <w:bCs/>
          <w:color w:val="0E0E0E"/>
          <w:kern w:val="0"/>
          <w:sz w:val="32"/>
          <w:szCs w:val="32"/>
        </w:rPr>
        <w:t>通过宏观周期</w:t>
      </w:r>
      <w:r w:rsidRPr="00DF0AED">
        <w:rPr>
          <w:rFonts w:ascii=".AppleSystemUIFont" w:eastAsia="宋体" w:hAnsi=".AppleSystemUIFont" w:cs="宋体"/>
          <w:b/>
          <w:bCs/>
          <w:color w:val="0E0E0E"/>
          <w:kern w:val="0"/>
          <w:sz w:val="32"/>
          <w:szCs w:val="32"/>
        </w:rPr>
        <w:t xml:space="preserve"> → </w:t>
      </w:r>
      <w:r w:rsidRPr="00DF0AED">
        <w:rPr>
          <w:rFonts w:ascii=".AppleSystemUIFont" w:eastAsia="宋体" w:hAnsi=".AppleSystemUIFont" w:cs="宋体"/>
          <w:b/>
          <w:bCs/>
          <w:color w:val="0E0E0E"/>
          <w:kern w:val="0"/>
          <w:sz w:val="32"/>
          <w:szCs w:val="32"/>
        </w:rPr>
        <w:t>行业周期</w:t>
      </w:r>
      <w:r w:rsidRPr="00DF0AED">
        <w:rPr>
          <w:rFonts w:ascii=".AppleSystemUIFont" w:eastAsia="宋体" w:hAnsi=".AppleSystemUIFont" w:cs="宋体"/>
          <w:b/>
          <w:bCs/>
          <w:color w:val="0E0E0E"/>
          <w:kern w:val="0"/>
          <w:sz w:val="32"/>
          <w:szCs w:val="32"/>
        </w:rPr>
        <w:t xml:space="preserve"> → </w:t>
      </w:r>
      <w:r w:rsidRPr="00DF0AED">
        <w:rPr>
          <w:rFonts w:ascii=".AppleSystemUIFont" w:eastAsia="宋体" w:hAnsi=".AppleSystemUIFont" w:cs="宋体"/>
          <w:b/>
          <w:bCs/>
          <w:color w:val="0E0E0E"/>
          <w:kern w:val="0"/>
          <w:sz w:val="32"/>
          <w:szCs w:val="32"/>
        </w:rPr>
        <w:t>个股周期</w:t>
      </w: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 </w:t>
      </w: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的递进逻辑，</w:t>
      </w:r>
      <w:r>
        <w:rPr>
          <w:rFonts w:ascii=".AppleSystemUIFont" w:eastAsia="宋体" w:hAnsi=".AppleSystemUIFont" w:cs="宋体" w:hint="eastAsia"/>
          <w:color w:val="0E0E0E"/>
          <w:kern w:val="0"/>
          <w:sz w:val="32"/>
          <w:szCs w:val="32"/>
        </w:rPr>
        <w:t>分析当前标的是否存在与周期矛盾的问题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b/>
          <w:bCs/>
          <w:kern w:val="0"/>
          <w:sz w:val="24"/>
        </w:rPr>
        <w:t>模型结构逻辑图</w:t>
      </w:r>
    </w:p>
    <w:p w:rsidR="00DF0AED" w:rsidRPr="00DF0AED" w:rsidRDefault="00DF0AED" w:rsidP="00571B0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b/>
          <w:bCs/>
          <w:kern w:val="0"/>
          <w:sz w:val="24"/>
        </w:rPr>
        <w:t>量化指标体系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① 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模型总体结构（Top-Down Cycle System Architecture）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Dagnino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的核心思想：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32"/>
          <w:szCs w:val="32"/>
        </w:rPr>
      </w:pPr>
      <w:r w:rsidRPr="00DF0AE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宏观周期决定资产配置，利率趋势决定估值方向，行业周期决定选谁，个股周期决定买点。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F0AED">
        <w:rPr>
          <w:rFonts w:ascii="Apple Color Emoji" w:eastAsia="宋体" w:hAnsi="Apple Color Emoji" w:cs="Apple Color Emoji"/>
          <w:b/>
          <w:bCs/>
          <w:kern w:val="0"/>
          <w:sz w:val="27"/>
          <w:szCs w:val="27"/>
        </w:rPr>
        <w:t>🔺</w:t>
      </w:r>
      <w:r w:rsidRPr="00DF0AED">
        <w:rPr>
          <w:rFonts w:ascii="宋体" w:eastAsia="宋体" w:hAnsi="宋体" w:cs="宋体"/>
          <w:b/>
          <w:bCs/>
          <w:kern w:val="0"/>
          <w:sz w:val="27"/>
          <w:szCs w:val="27"/>
        </w:rPr>
        <w:t>模型结构如下：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[宏观周期模块] —— 决定：总体仓位（High / Medium / Low）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     ↓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[利率 &amp; 通胀模块] —— 决定：风格（成长 / 价值 / 周期 / 防御）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     ↓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[行业周期模块] —— 决定：行业权重（科技 / 工业 / 金融 / 原材料…）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     ↓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[个股周期模块] —— 决定：具体股票+买点（盈利周期+估值周期+技术周期）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     ↓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[风险模块] —— 决定：止损、止盈、仓位再平衡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9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② 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模型指标体系（Quant Indicators）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按照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Dagnino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原著结构，把指标分为四层。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8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A. 宏观周期模块（Macro Cycle）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1. 经济动能（Growth Force）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740"/>
        <w:gridCol w:w="4155"/>
      </w:tblGrid>
      <w:tr w:rsidR="00DF0AED" w:rsidRPr="00DF0AED" w:rsidTr="00DF0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周期逻辑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信号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ISM PMI（制造业）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最重要领先指标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&gt;50 扩张；&lt;50 收缩；新订单领先反转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服务业 PMI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补充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&gt;50 即强劲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工业生产（IP）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中周期动能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YoY 连续 3 个月改善 = 复苏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零售销售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消费趋势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YoY 转正=消费恢复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耐用品订单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企业扩产意愿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连续两月上升=制造业回升</w:t>
            </w:r>
          </w:p>
        </w:tc>
      </w:tr>
    </w:tbl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→ </w:t>
      </w:r>
      <w:r w:rsidRPr="00DF0AED">
        <w:rPr>
          <w:rFonts w:ascii="宋体" w:eastAsia="宋体" w:hAnsi="宋体" w:cs="宋体"/>
          <w:b/>
          <w:bCs/>
          <w:kern w:val="0"/>
          <w:sz w:val="24"/>
        </w:rPr>
        <w:t>宏观方向判定公式：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Macro_Score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PMI_ZScore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IP_ZScore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Retail_ZScore</w:t>
      </w:r>
      <w:proofErr w:type="spellEnd"/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lastRenderedPageBreak/>
        <w:t>阈值：</w:t>
      </w:r>
    </w:p>
    <w:p w:rsidR="00DF0AED" w:rsidRPr="00DF0AED" w:rsidRDefault="00DF0AED" w:rsidP="00DF0AED">
      <w:pPr>
        <w:widowControl/>
        <w:numPr>
          <w:ilvl w:val="0"/>
          <w:numId w:val="2"/>
        </w:numPr>
        <w:spacing w:before="100" w:beforeAutospacing="1" w:after="100" w:afterAutospacing="1"/>
        <w:ind w:left="945"/>
        <w:jc w:val="left"/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</w:pP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+1 → </w:t>
      </w: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扩张</w:t>
      </w: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/</w:t>
      </w: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复苏阶段</w:t>
      </w:r>
    </w:p>
    <w:p w:rsidR="00DF0AED" w:rsidRPr="00DF0AED" w:rsidRDefault="00DF0AED" w:rsidP="00DF0AE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&lt; –1 → 衰退/下行阶段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7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2. 通胀/成本周期（Inflation Force）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75"/>
      </w:tblGrid>
      <w:tr w:rsidR="00DF0AED" w:rsidRPr="00DF0AED" w:rsidTr="00DF0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用途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CPI / Core CPI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消费端通胀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PPI / Core PPI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成本端通胀（最敏感）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大宗商品（CRB、铜、油）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通胀预期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工资增速（ULC）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通胀黏性来源</w:t>
            </w:r>
          </w:p>
        </w:tc>
      </w:tr>
    </w:tbl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Dagnino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强调：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32"/>
          <w:szCs w:val="32"/>
        </w:rPr>
      </w:pPr>
      <w:r w:rsidRPr="00DF0AE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 xml:space="preserve">PPI </w:t>
      </w:r>
      <w:r w:rsidRPr="00DF0AED">
        <w:rPr>
          <w:rFonts w:ascii="Times New Roman" w:eastAsia="宋体" w:hAnsi="Times New Roman" w:cs="Times New Roman"/>
          <w:b/>
          <w:bCs/>
          <w:color w:val="0E0E0E"/>
          <w:kern w:val="0"/>
          <w:sz w:val="32"/>
          <w:szCs w:val="32"/>
        </w:rPr>
        <w:t>→</w:t>
      </w:r>
      <w:r w:rsidRPr="00DF0AE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 xml:space="preserve"> CPI </w:t>
      </w:r>
      <w:r w:rsidRPr="00DF0AED">
        <w:rPr>
          <w:rFonts w:ascii="Times New Roman" w:eastAsia="宋体" w:hAnsi="Times New Roman" w:cs="Times New Roman"/>
          <w:b/>
          <w:bCs/>
          <w:color w:val="0E0E0E"/>
          <w:kern w:val="0"/>
          <w:sz w:val="32"/>
          <w:szCs w:val="32"/>
        </w:rPr>
        <w:t>→</w:t>
      </w:r>
      <w:r w:rsidRPr="00DF0AE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 xml:space="preserve"> </w:t>
      </w:r>
      <w:r w:rsidRPr="00DF0AE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利率</w:t>
      </w:r>
      <w:r w:rsidRPr="00DF0AE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 xml:space="preserve"> </w:t>
      </w:r>
      <w:r w:rsidRPr="00DF0AED">
        <w:rPr>
          <w:rFonts w:ascii="Times New Roman" w:eastAsia="宋体" w:hAnsi="Times New Roman" w:cs="Times New Roman"/>
          <w:b/>
          <w:bCs/>
          <w:color w:val="0E0E0E"/>
          <w:kern w:val="0"/>
          <w:sz w:val="32"/>
          <w:szCs w:val="32"/>
        </w:rPr>
        <w:t>→</w:t>
      </w:r>
      <w:r w:rsidRPr="00DF0AE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 xml:space="preserve"> </w:t>
      </w:r>
      <w:r w:rsidRPr="00DF0AE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股票估值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6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3. 利率 &amp; 信贷（Interest Rate Cycle）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2235"/>
      </w:tblGrid>
      <w:tr w:rsidR="00DF0AED" w:rsidRPr="00DF0AED" w:rsidTr="00DF0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用途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10y 美债利率趋势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决定估值扩张或收缩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2y-10y 利差（yield curve）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衰退领先信号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金融条件指数（FCI）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宏观流动性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银行贷款标准（SLOOS）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信用周期</w:t>
            </w:r>
          </w:p>
        </w:tc>
      </w:tr>
    </w:tbl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b/>
          <w:bCs/>
          <w:kern w:val="0"/>
          <w:sz w:val="24"/>
        </w:rPr>
        <w:t>利率方向信号：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Rate_Score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- (10Y利率趋势) + (Yield Curve斜率)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5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B. 风格选择模块（Style Selection）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取输入：</w:t>
      </w:r>
    </w:p>
    <w:p w:rsidR="00DF0AED" w:rsidRPr="00DF0AED" w:rsidRDefault="00DF0AED" w:rsidP="00DF0AE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宏观周期方向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Macro_Score</w:t>
      </w:r>
      <w:proofErr w:type="spellEnd"/>
    </w:p>
    <w:p w:rsidR="00DF0AED" w:rsidRPr="00DF0AED" w:rsidRDefault="00DF0AED" w:rsidP="00DF0AE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利率方向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Rate_Score</w:t>
      </w:r>
      <w:proofErr w:type="spellEnd"/>
    </w:p>
    <w:p w:rsidR="00DF0AED" w:rsidRPr="00DF0AED" w:rsidRDefault="00DF0AED" w:rsidP="00DF0AE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通胀趋势 CPI/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PPI_Turn</w:t>
      </w:r>
      <w:proofErr w:type="spellEnd"/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F0AED">
        <w:rPr>
          <w:rFonts w:ascii="宋体" w:eastAsia="宋体" w:hAnsi="宋体" w:cs="宋体"/>
          <w:b/>
          <w:bCs/>
          <w:kern w:val="0"/>
          <w:sz w:val="27"/>
          <w:szCs w:val="27"/>
        </w:rPr>
        <w:t>→ 风格矩阵（</w:t>
      </w:r>
      <w:proofErr w:type="spellStart"/>
      <w:r w:rsidRPr="00DF0AED">
        <w:rPr>
          <w:rFonts w:ascii="宋体" w:eastAsia="宋体" w:hAnsi="宋体" w:cs="宋体"/>
          <w:b/>
          <w:bCs/>
          <w:kern w:val="0"/>
          <w:sz w:val="27"/>
          <w:szCs w:val="27"/>
        </w:rPr>
        <w:t>Dagnino</w:t>
      </w:r>
      <w:proofErr w:type="spellEnd"/>
      <w:r w:rsidRPr="00DF0AED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原著思想总结）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039"/>
        <w:gridCol w:w="2522"/>
      </w:tblGrid>
      <w:tr w:rsidR="00DF0AED" w:rsidRPr="00DF0AED" w:rsidTr="00DF0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宏观周期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利率方向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风格配置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扩张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利率下行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科技/成长</w:t>
            </w:r>
            <w:r w:rsidRPr="00DF0AED">
              <w:rPr>
                <w:rFonts w:ascii="宋体" w:eastAsia="宋体" w:hAnsi="宋体" w:cs="宋体"/>
                <w:kern w:val="0"/>
                <w:sz w:val="24"/>
              </w:rPr>
              <w:t>（β高）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扩张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利率上行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金融、价值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衰退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利率下降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债券、长久期科技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衰退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利率上行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防御消费、医疗、低波</w:t>
            </w:r>
          </w:p>
        </w:tc>
      </w:tr>
    </w:tbl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4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C. 行业周期模块（Industry Cycle）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输入：</w:t>
      </w:r>
    </w:p>
    <w:p w:rsidR="00DF0AED" w:rsidRPr="00DF0AED" w:rsidRDefault="00DF0AED" w:rsidP="00DF0A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行业销售 YoY</w:t>
      </w:r>
    </w:p>
    <w:p w:rsidR="00DF0AED" w:rsidRPr="00DF0AED" w:rsidRDefault="00DF0AED" w:rsidP="00DF0A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行业库存</w:t>
      </w:r>
    </w:p>
    <w:p w:rsidR="00DF0AED" w:rsidRPr="00DF0AED" w:rsidRDefault="00DF0AED" w:rsidP="00DF0A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行业利润率</w:t>
      </w:r>
    </w:p>
    <w:p w:rsidR="00DF0AED" w:rsidRPr="00DF0AED" w:rsidRDefault="00DF0AED" w:rsidP="00DF0A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行业订单</w:t>
      </w:r>
    </w:p>
    <w:p w:rsidR="00DF0AED" w:rsidRPr="00DF0AED" w:rsidRDefault="00DF0AED" w:rsidP="00DF0A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行业相对强弱（RS vs SP500）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行业景气评分：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Industry_Score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Sales_Z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Profit_Z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Inventory_Turn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RS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信号：</w:t>
      </w:r>
    </w:p>
    <w:p w:rsidR="00DF0AED" w:rsidRPr="00DF0AED" w:rsidRDefault="00DF0AED" w:rsidP="00DF0AED">
      <w:pPr>
        <w:widowControl/>
        <w:numPr>
          <w:ilvl w:val="0"/>
          <w:numId w:val="5"/>
        </w:numPr>
        <w:spacing w:before="100" w:beforeAutospacing="1" w:after="100" w:afterAutospacing="1"/>
        <w:ind w:left="945"/>
        <w:jc w:val="left"/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</w:pP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+1 → </w:t>
      </w: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超配</w:t>
      </w:r>
    </w:p>
    <w:p w:rsidR="00DF0AED" w:rsidRPr="00DF0AED" w:rsidRDefault="00DF0AED" w:rsidP="00DF0AE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&lt; -1 → 低配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33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D. 个股周期模块（Stock Cycle）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Dagnino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的个股判断基于三条主线：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1. 盈利周期（Earnings Cycle）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275"/>
      </w:tblGrid>
      <w:tr w:rsidR="00DF0AED" w:rsidRPr="00DF0AED" w:rsidTr="00DF0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用途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收入增速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景气敏感度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EPS 增速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最重要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自由现金流 FCF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质量指标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毛利率变化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定价能力</w:t>
            </w:r>
          </w:p>
        </w:tc>
      </w:tr>
      <w:tr w:rsidR="00DF0AED" w:rsidRPr="00DF0AED" w:rsidTr="00DF0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库存变化</w:t>
            </w:r>
          </w:p>
        </w:tc>
        <w:tc>
          <w:tcPr>
            <w:tcW w:w="0" w:type="auto"/>
            <w:vAlign w:val="center"/>
            <w:hideMark/>
          </w:tcPr>
          <w:p w:rsidR="00DF0AED" w:rsidRPr="00DF0AED" w:rsidRDefault="00DF0AED" w:rsidP="00DF0AE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F0AED">
              <w:rPr>
                <w:rFonts w:ascii="宋体" w:eastAsia="宋体" w:hAnsi="宋体" w:cs="宋体"/>
                <w:kern w:val="0"/>
                <w:sz w:val="24"/>
              </w:rPr>
              <w:t>领先周期</w:t>
            </w:r>
          </w:p>
        </w:tc>
      </w:tr>
    </w:tbl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F0AED">
        <w:rPr>
          <w:rFonts w:ascii="宋体" w:eastAsia="宋体" w:hAnsi="宋体" w:cs="宋体"/>
          <w:b/>
          <w:bCs/>
          <w:kern w:val="0"/>
          <w:sz w:val="27"/>
          <w:szCs w:val="27"/>
        </w:rPr>
        <w:t>盈利周期信号：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Earnings_Score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ΔRevenue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ΔEPS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ΔMargin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ΔInventory</w:t>
      </w:r>
      <w:proofErr w:type="spellEnd"/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1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2. 估值周期（Valuation Cycle）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输入：</w:t>
      </w:r>
    </w:p>
    <w:p w:rsidR="00DF0AED" w:rsidRPr="00DF0AED" w:rsidRDefault="00DF0AED" w:rsidP="00DF0AE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利率方向</w:t>
      </w:r>
    </w:p>
    <w:p w:rsidR="00DF0AED" w:rsidRPr="00DF0AED" w:rsidRDefault="00DF0AED" w:rsidP="00DF0AE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当前估值（PE/PS/PB）</w:t>
      </w:r>
    </w:p>
    <w:p w:rsidR="00DF0AED" w:rsidRPr="00DF0AED" w:rsidRDefault="00DF0AED" w:rsidP="00DF0AE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历史分位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估值偏离判断：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Valuation_Score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-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PE_Pctile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Growth_Adjust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* (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Macro_Score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>)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3. 股价趋势（Price Cycle）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Dagnino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非常重视趋势：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</w:pP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“</w:t>
      </w: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趋势是周期结果的反映，是最终确认信号。</w:t>
      </w:r>
      <w:r w:rsidRPr="00DF0AE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”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关键指标：</w:t>
      </w:r>
    </w:p>
    <w:p w:rsidR="00DF0AED" w:rsidRPr="00DF0AED" w:rsidRDefault="00DF0AED" w:rsidP="00DF0AE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MA(20/60/120) 趋势方向</w:t>
      </w:r>
    </w:p>
    <w:p w:rsidR="00DF0AED" w:rsidRPr="00DF0AED" w:rsidRDefault="00DF0AED" w:rsidP="00DF0AE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MACD 趋势</w:t>
      </w:r>
    </w:p>
    <w:p w:rsidR="00DF0AED" w:rsidRPr="00DF0AED" w:rsidRDefault="00DF0AED" w:rsidP="00DF0AE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价量共振</w:t>
      </w:r>
    </w:p>
    <w:p w:rsidR="00DF0AED" w:rsidRPr="00DF0AED" w:rsidRDefault="00DF0AED" w:rsidP="00DF0AE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RS 强弱（相对大盘）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Trend_Score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MA_slope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MACD_signal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Volume_Trend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 RS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最终个股评分（0~100）：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Stock_Total_Score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0.4 *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Earnings_Score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0.3 *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Trend_Score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+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0.3 *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Valuation_Score</w:t>
      </w:r>
      <w:proofErr w:type="spellEnd"/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③ 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F0AED">
        <w:rPr>
          <w:rFonts w:ascii="宋体" w:eastAsia="宋体" w:hAnsi="宋体" w:cs="宋体"/>
          <w:b/>
          <w:bCs/>
          <w:kern w:val="36"/>
          <w:sz w:val="48"/>
          <w:szCs w:val="48"/>
        </w:rPr>
        <w:t>最终投资模型（可直接执行）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1️</w:t>
      </w:r>
      <w:r w:rsidRPr="00DF0AED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仓位模型（基于宏观 &amp; 利率）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If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Macro_Score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&gt; +1 and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Rate_Score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&gt; 0: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Equity_Position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90%（偏高）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elif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Macro_Score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&gt; 0: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Equity_Position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70%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lastRenderedPageBreak/>
        <w:t>elif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Macro_Score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&lt; -1: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Equity_Position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20%（偏低）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else: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Equity_Position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50%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2️</w:t>
      </w:r>
      <w:r w:rsidRPr="00DF0AED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风格模型（Growth vs Value）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If 利率下降: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</w:t>
      </w:r>
      <w:proofErr w:type="gramStart"/>
      <w:r w:rsidRPr="00DF0AED">
        <w:rPr>
          <w:rFonts w:ascii="宋体" w:eastAsia="宋体" w:hAnsi="宋体" w:cs="宋体"/>
          <w:kern w:val="0"/>
          <w:sz w:val="24"/>
        </w:rPr>
        <w:t>overweight(</w:t>
      </w:r>
      <w:proofErr w:type="gramEnd"/>
      <w:r w:rsidRPr="00DF0AED">
        <w:rPr>
          <w:rFonts w:ascii="宋体" w:eastAsia="宋体" w:hAnsi="宋体" w:cs="宋体"/>
          <w:kern w:val="0"/>
          <w:sz w:val="24"/>
        </w:rPr>
        <w:t>Growth, Tech, Consumer Discretionary)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If 利率上升: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</w:t>
      </w:r>
      <w:proofErr w:type="gramStart"/>
      <w:r w:rsidRPr="00DF0AED">
        <w:rPr>
          <w:rFonts w:ascii="宋体" w:eastAsia="宋体" w:hAnsi="宋体" w:cs="宋体"/>
          <w:kern w:val="0"/>
          <w:sz w:val="24"/>
        </w:rPr>
        <w:t>overweight(</w:t>
      </w:r>
      <w:proofErr w:type="gramEnd"/>
      <w:r w:rsidRPr="00DF0AED">
        <w:rPr>
          <w:rFonts w:ascii="宋体" w:eastAsia="宋体" w:hAnsi="宋体" w:cs="宋体"/>
          <w:kern w:val="0"/>
          <w:sz w:val="24"/>
        </w:rPr>
        <w:t>Value, Financials, Energy)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If 宏观衰退: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</w:t>
      </w:r>
      <w:proofErr w:type="gramStart"/>
      <w:r w:rsidRPr="00DF0AED">
        <w:rPr>
          <w:rFonts w:ascii="宋体" w:eastAsia="宋体" w:hAnsi="宋体" w:cs="宋体"/>
          <w:kern w:val="0"/>
          <w:sz w:val="24"/>
        </w:rPr>
        <w:t>overweight(</w:t>
      </w:r>
      <w:proofErr w:type="gramEnd"/>
      <w:r w:rsidRPr="00DF0AED">
        <w:rPr>
          <w:rFonts w:ascii="宋体" w:eastAsia="宋体" w:hAnsi="宋体" w:cs="宋体"/>
          <w:kern w:val="0"/>
          <w:sz w:val="24"/>
        </w:rPr>
        <w:t>Healthcare, Staples)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3️</w:t>
      </w:r>
      <w:r w:rsidRPr="00DF0AED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行业配置模型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对每个行业：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if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Industry_Score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&gt; 1: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overweight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elif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</w:t>
      </w:r>
      <w:proofErr w:type="spellStart"/>
      <w:r w:rsidRPr="00DF0AED">
        <w:rPr>
          <w:rFonts w:ascii="宋体" w:eastAsia="宋体" w:hAnsi="宋体" w:cs="宋体"/>
          <w:kern w:val="0"/>
          <w:sz w:val="24"/>
        </w:rPr>
        <w:t>Industry_Score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&lt; -1: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underweight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else: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 xml:space="preserve">    neutral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>4️</w:t>
      </w:r>
      <w:r w:rsidRPr="00DF0AED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DF0AE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个股打分模型（用于选股）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对每只股票：</w:t>
      </w:r>
    </w:p>
    <w:p w:rsidR="00DF0AED" w:rsidRPr="00DF0AED" w:rsidRDefault="00DF0AED" w:rsidP="00DF0A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F0AED">
        <w:rPr>
          <w:rFonts w:ascii="宋体" w:eastAsia="宋体" w:hAnsi="宋体" w:cs="宋体"/>
          <w:kern w:val="0"/>
          <w:sz w:val="24"/>
        </w:rPr>
        <w:t>Final_Score</w:t>
      </w:r>
      <w:proofErr w:type="spellEnd"/>
      <w:r w:rsidRPr="00DF0AED">
        <w:rPr>
          <w:rFonts w:ascii="宋体" w:eastAsia="宋体" w:hAnsi="宋体" w:cs="宋体"/>
          <w:kern w:val="0"/>
          <w:sz w:val="24"/>
        </w:rPr>
        <w:t xml:space="preserve"> = 0.4*Earnings + 0.3*Trend + 0.3*Valuation</w:t>
      </w:r>
    </w:p>
    <w:p w:rsidR="00DF0AED" w:rsidRPr="00DF0AED" w:rsidRDefault="00DF0AED" w:rsidP="00DF0A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选股规则：</w:t>
      </w:r>
    </w:p>
    <w:p w:rsidR="00DF0AED" w:rsidRPr="00DF0AED" w:rsidRDefault="00DF0AED" w:rsidP="00DF0AE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Score &gt; 70 → 买入观察池</w:t>
      </w:r>
    </w:p>
    <w:p w:rsidR="00DF0AED" w:rsidRPr="00DF0AED" w:rsidRDefault="00DF0AED" w:rsidP="00DF0AE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t>Score &gt; 80 → 核心持仓</w:t>
      </w:r>
    </w:p>
    <w:p w:rsidR="00DF0AED" w:rsidRPr="00DF0AED" w:rsidRDefault="00DF0AED" w:rsidP="00DF0AE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kern w:val="0"/>
          <w:sz w:val="24"/>
        </w:rPr>
        <w:lastRenderedPageBreak/>
        <w:t>Score &lt; 40 → 卖出</w:t>
      </w:r>
    </w:p>
    <w:p w:rsidR="00DF0AED" w:rsidRPr="00DF0AED" w:rsidRDefault="00263109" w:rsidP="00DF0AE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F0AED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:rsidR="006720BE" w:rsidRPr="00DF0AED" w:rsidRDefault="006720BE"/>
    <w:sectPr w:rsidR="006720BE" w:rsidRPr="00DF0AED" w:rsidSect="005202D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07D5"/>
    <w:multiLevelType w:val="multilevel"/>
    <w:tmpl w:val="6EE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E7633"/>
    <w:multiLevelType w:val="multilevel"/>
    <w:tmpl w:val="B28C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74386"/>
    <w:multiLevelType w:val="multilevel"/>
    <w:tmpl w:val="626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C4ECD"/>
    <w:multiLevelType w:val="multilevel"/>
    <w:tmpl w:val="C11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F150B"/>
    <w:multiLevelType w:val="multilevel"/>
    <w:tmpl w:val="DC86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43A0A"/>
    <w:multiLevelType w:val="multilevel"/>
    <w:tmpl w:val="C5D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22FE4"/>
    <w:multiLevelType w:val="multilevel"/>
    <w:tmpl w:val="09F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51E5F"/>
    <w:multiLevelType w:val="multilevel"/>
    <w:tmpl w:val="C9A4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863676">
    <w:abstractNumId w:val="4"/>
  </w:num>
  <w:num w:numId="2" w16cid:durableId="1638220537">
    <w:abstractNumId w:val="3"/>
  </w:num>
  <w:num w:numId="3" w16cid:durableId="1117021624">
    <w:abstractNumId w:val="5"/>
  </w:num>
  <w:num w:numId="4" w16cid:durableId="1622803234">
    <w:abstractNumId w:val="0"/>
  </w:num>
  <w:num w:numId="5" w16cid:durableId="2028628817">
    <w:abstractNumId w:val="6"/>
  </w:num>
  <w:num w:numId="6" w16cid:durableId="1278492004">
    <w:abstractNumId w:val="2"/>
  </w:num>
  <w:num w:numId="7" w16cid:durableId="881476475">
    <w:abstractNumId w:val="7"/>
  </w:num>
  <w:num w:numId="8" w16cid:durableId="1986011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ED"/>
    <w:rsid w:val="00212DE3"/>
    <w:rsid w:val="00263109"/>
    <w:rsid w:val="004E4C14"/>
    <w:rsid w:val="005102B9"/>
    <w:rsid w:val="005202D3"/>
    <w:rsid w:val="006720BE"/>
    <w:rsid w:val="008736A1"/>
    <w:rsid w:val="00BE229F"/>
    <w:rsid w:val="00DF0AED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DA10"/>
  <w15:chartTrackingRefBased/>
  <w15:docId w15:val="{0CA52DEB-85B4-514E-B917-58DF6DCC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0A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F0A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A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A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A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A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A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A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0A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F0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F0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0A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0A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0A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0A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0A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0A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0A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A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0A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A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0A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A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A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0A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0AE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F0A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DF0AED"/>
  </w:style>
  <w:style w:type="paragraph" w:customStyle="1" w:styleId="p2">
    <w:name w:val="p2"/>
    <w:basedOn w:val="a"/>
    <w:rsid w:val="00DF0A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DF0A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DF0AED"/>
  </w:style>
  <w:style w:type="character" w:customStyle="1" w:styleId="s3">
    <w:name w:val="s3"/>
    <w:basedOn w:val="a0"/>
    <w:rsid w:val="00DF0AED"/>
  </w:style>
  <w:style w:type="character" w:customStyle="1" w:styleId="apple-converted-space">
    <w:name w:val="apple-converted-space"/>
    <w:basedOn w:val="a0"/>
    <w:rsid w:val="00DF0AED"/>
  </w:style>
  <w:style w:type="paragraph" w:styleId="HTML">
    <w:name w:val="HTML Preformatted"/>
    <w:basedOn w:val="a"/>
    <w:link w:val="HTML0"/>
    <w:uiPriority w:val="99"/>
    <w:semiHidden/>
    <w:unhideWhenUsed/>
    <w:rsid w:val="00DF0A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F0AED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DF0AED"/>
    <w:rPr>
      <w:rFonts w:ascii="宋体" w:eastAsia="宋体" w:hAnsi="宋体" w:cs="宋体"/>
      <w:sz w:val="24"/>
      <w:szCs w:val="24"/>
    </w:rPr>
  </w:style>
  <w:style w:type="paragraph" w:customStyle="1" w:styleId="p4">
    <w:name w:val="p4"/>
    <w:basedOn w:val="a"/>
    <w:rsid w:val="00DF0A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19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42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13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94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880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67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2025-12-10T08:20:00Z</dcterms:created>
  <dcterms:modified xsi:type="dcterms:W3CDTF">2025-12-10T08:24:00Z</dcterms:modified>
</cp:coreProperties>
</file>