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最近5个交易日趋势分析</w:t>
      </w:r>
    </w:p>
    <w:p>
      <w:r>
        <w:br/>
        <w:t>1d周期分析：</w:t>
      </w:r>
    </w:p>
    <w:p>
      <w:r>
        <w:t>MA交叉信号：</w:t>
      </w:r>
    </w:p>
    <w:p>
      <w:r>
        <w:t>无显著交叉信号</w:t>
      </w:r>
    </w:p>
    <w:p>
      <w:r>
        <w:br/>
        <w:t>价格位置：</w:t>
      </w:r>
    </w:p>
    <w:p>
      <w:r>
        <w:t>2025-05-02: 价格位置中性</w:t>
      </w:r>
    </w:p>
    <w:p>
      <w:r>
        <w:t>2025-05-05: 价格位置中性</w:t>
      </w:r>
    </w:p>
    <w:p>
      <w:r>
        <w:t>2025-05-06: 价格位置中性</w:t>
      </w:r>
    </w:p>
    <w:p>
      <w:r>
        <w:t>2025-05-07: 价格位置中性</w:t>
      </w:r>
    </w:p>
    <w:p>
      <w:r>
        <w:t>2025-05-08: 价格位置中性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