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2025-05-01: 中性区域 (支撑位: nan, 压力位: nan)</w:t>
      </w:r>
    </w:p>
    <w:p>
      <w:r>
        <w:t>2025-05-02: 中性区域 (支撑位: nan, 压力位: nan)</w:t>
      </w:r>
    </w:p>
    <w:p>
      <w:r>
        <w:t>2025-05-05: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t>2025-05-02 00:00:00 - MACD顶背离</w:t>
      </w:r>
    </w:p>
    <w:p>
      <w:r>
        <w:t>2025-05-05 00:00:00 - MACD顶背离</w:t>
      </w:r>
    </w:p>
    <w:p>
      <w:r>
        <w:rPr>
          <w:color w:val="FF0000"/>
        </w:rPr>
        <w:t>2025-05-06 00:00:00 - MACD顶背离</w:t>
      </w:r>
    </w:p>
    <w:p>
      <w:r>
        <w:t>【KDJ背离】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rPr>
          <w:color w:val="FF0000"/>
        </w:rPr>
        <w:t>2025-05-06 00:00:00 - MA20顶背离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