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2025-05-05 00:00:00 - MACD顶背离</w:t>
      </w:r>
    </w:p>
    <w:p>
      <w:r>
        <w:rPr>
          <w:color w:val="FF0000"/>
        </w:rPr>
        <w:t>2025-05-06 00:00:00 - MACD顶背离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2025-05-05 00:00:00 - 价格突破 (弱)</w:t>
      </w:r>
      <w:r>
        <w:br/>
        <w:t>突破20日高点 72.16，涨幅0.1%</w:t>
      </w:r>
    </w:p>
    <w:p>
      <w:r>
        <w:rPr>
          <w:color w:val="008000"/>
        </w:rPr>
        <w:t>2025-05-12 00:00:00 - 价格突破 (弱)</w:t>
      </w:r>
      <w:r>
        <w:br/>
        <w:t>突破20日高点 72.69，涨幅0.5%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MACD顶背离：3次</w:t>
        <w:br/>
        <w:t xml:space="preserve">   KDJ顶背离：1次</w:t>
        <w:br/>
        <w:t xml:space="preserve">   成交量突破：出现2次，均为弱信号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