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105.EWJ</w:t>
      </w:r>
    </w:p>
    <w:p>
      <w:r>
        <w:t>市场: US</w:t>
      </w:r>
    </w:p>
    <w:p>
      <w:r>
        <w:t>日期: 20250514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2025-05-07: 中性区域 (支撑位: nan, 压力位: nan)</w:t>
      </w:r>
    </w:p>
    <w:p>
      <w:r>
        <w:t>2025-05-08: 中性区域 (支撑位: nan, 压力位: nan)</w:t>
      </w:r>
    </w:p>
    <w:p>
      <w:r>
        <w:t>2025-05-09: 中性区域 (支撑位: nan, 压力位: nan)</w:t>
      </w:r>
    </w:p>
    <w:p>
      <w:r>
        <w:t>2025-05-12: 中性区域 (支撑位: nan, 压力位: nan)</w:t>
      </w:r>
    </w:p>
    <w:p>
      <w:r>
        <w:t>2025-05-13: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1d</w:t>
      </w:r>
    </w:p>
    <w:p>
      <w:r>
        <w:t>【MACD背离】</w:t>
      </w:r>
    </w:p>
    <w:p>
      <w:r>
        <w:rPr>
          <w:color w:val="FF0000"/>
        </w:rPr>
        <w:t>2025-05-06 00:00:00 - MACD顶背离</w:t>
      </w:r>
    </w:p>
    <w:p>
      <w:r>
        <w:rPr>
          <w:color w:val="FF0000"/>
        </w:rPr>
        <w:t>2025-05-09 00:00:00 - MACD顶背离</w:t>
      </w:r>
    </w:p>
    <w:p>
      <w:r>
        <w:rPr>
          <w:color w:val="FF0000"/>
        </w:rPr>
        <w:t>2025-05-12 00:00:00 - MACD顶背离</w:t>
      </w:r>
    </w:p>
    <w:p>
      <w:r>
        <w:t>【KDJ背离】</w:t>
      </w:r>
    </w:p>
    <w:p>
      <w:r>
        <w:rPr>
          <w:color w:val="FF0000"/>
        </w:rPr>
        <w:t>2025-05-09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2025-05-12 00:00:00 - 价格突破 (弱)</w:t>
      </w:r>
      <w:r>
        <w:br/>
        <w:t>突破20日高点 72.69，涨幅0.5%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当前无明显趋势特征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f) 1d周期：</w:t>
        <w:br/>
        <w:t xml:space="preserve">   MACD顶背离：3次</w:t>
        <w:br/>
        <w:t xml:space="preserve">   KDJ顶背离：1次</w:t>
        <w:br/>
        <w:t xml:space="preserve">   成交量突破：出现1次，均为弱信号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